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C9B5" w14:textId="09B3A6A9" w:rsidR="00587C59" w:rsidRDefault="00E74FC7" w:rsidP="00587C59">
      <w:pPr>
        <w:autoSpaceDE w:val="0"/>
        <w:autoSpaceDN w:val="0"/>
        <w:adjustRightInd w:val="0"/>
        <w:spacing w:after="0" w:line="240" w:lineRule="auto"/>
        <w:jc w:val="center"/>
        <w:rPr>
          <w:rFonts w:ascii="Arial" w:hAnsi="Arial" w:cs="Arial"/>
          <w:b/>
          <w:bCs/>
          <w:color w:val="000000"/>
          <w:sz w:val="36"/>
          <w:szCs w:val="36"/>
        </w:rPr>
      </w:pPr>
      <w:r w:rsidRPr="00E74FC7">
        <w:rPr>
          <w:rFonts w:ascii="Arial" w:hAnsi="Arial" w:cs="Arial"/>
          <w:b/>
          <w:bCs/>
          <w:color w:val="000000"/>
          <w:sz w:val="36"/>
          <w:szCs w:val="36"/>
        </w:rPr>
        <w:t xml:space="preserve">Příloha č. 2 k SPP VDV - Seznam linek zapojených do VDV </w:t>
      </w:r>
      <w:r w:rsidR="00587C59" w:rsidRPr="00587C59">
        <w:rPr>
          <w:rFonts w:ascii="Arial" w:hAnsi="Arial" w:cs="Arial"/>
          <w:b/>
          <w:bCs/>
          <w:color w:val="000000"/>
          <w:sz w:val="36"/>
          <w:szCs w:val="36"/>
        </w:rPr>
        <w:t xml:space="preserve"> </w:t>
      </w:r>
    </w:p>
    <w:p w14:paraId="21B41503" w14:textId="6026B3C7" w:rsidR="00D86FC0" w:rsidRPr="00285B2C" w:rsidRDefault="00D86FC0" w:rsidP="00587C59">
      <w:pPr>
        <w:autoSpaceDE w:val="0"/>
        <w:autoSpaceDN w:val="0"/>
        <w:adjustRightInd w:val="0"/>
        <w:spacing w:before="240" w:after="0" w:line="360" w:lineRule="auto"/>
        <w:jc w:val="center"/>
        <w:rPr>
          <w:rFonts w:ascii="Arial" w:hAnsi="Arial" w:cs="Arial"/>
          <w:b/>
          <w:bCs/>
          <w:color w:val="000000"/>
          <w:sz w:val="28"/>
          <w:szCs w:val="36"/>
        </w:rPr>
      </w:pPr>
      <w:r w:rsidRPr="00285B2C">
        <w:rPr>
          <w:rFonts w:ascii="Arial" w:hAnsi="Arial" w:cs="Arial"/>
          <w:b/>
          <w:bCs/>
          <w:color w:val="000000"/>
          <w:sz w:val="28"/>
          <w:szCs w:val="36"/>
        </w:rPr>
        <w:t>platn</w:t>
      </w:r>
      <w:r w:rsidR="00587C59">
        <w:rPr>
          <w:rFonts w:ascii="Arial" w:hAnsi="Arial" w:cs="Arial"/>
          <w:b/>
          <w:bCs/>
          <w:color w:val="000000"/>
          <w:sz w:val="28"/>
          <w:szCs w:val="36"/>
        </w:rPr>
        <w:t>ý</w:t>
      </w:r>
      <w:r w:rsidRPr="00285B2C">
        <w:rPr>
          <w:rFonts w:ascii="Arial" w:hAnsi="Arial" w:cs="Arial"/>
          <w:b/>
          <w:bCs/>
          <w:color w:val="000000"/>
          <w:sz w:val="28"/>
          <w:szCs w:val="36"/>
        </w:rPr>
        <w:t xml:space="preserve"> od </w:t>
      </w:r>
      <w:r w:rsidR="00FB709D">
        <w:rPr>
          <w:rFonts w:ascii="Arial" w:hAnsi="Arial" w:cs="Arial"/>
          <w:b/>
          <w:bCs/>
          <w:color w:val="000000"/>
          <w:sz w:val="28"/>
          <w:szCs w:val="36"/>
        </w:rPr>
        <w:t>1</w:t>
      </w:r>
      <w:r w:rsidRPr="00285B2C">
        <w:rPr>
          <w:rFonts w:ascii="Arial" w:hAnsi="Arial" w:cs="Arial"/>
          <w:b/>
          <w:bCs/>
          <w:color w:val="000000"/>
          <w:sz w:val="28"/>
          <w:szCs w:val="36"/>
        </w:rPr>
        <w:t xml:space="preserve">. </w:t>
      </w:r>
      <w:r w:rsidR="001C601A">
        <w:rPr>
          <w:rFonts w:ascii="Arial" w:hAnsi="Arial" w:cs="Arial"/>
          <w:b/>
          <w:bCs/>
          <w:color w:val="000000"/>
          <w:sz w:val="28"/>
          <w:szCs w:val="36"/>
        </w:rPr>
        <w:t>dubna</w:t>
      </w:r>
      <w:r w:rsidR="00F12BF2" w:rsidRPr="00285B2C">
        <w:rPr>
          <w:rFonts w:ascii="Arial" w:hAnsi="Arial" w:cs="Arial"/>
          <w:b/>
          <w:bCs/>
          <w:color w:val="000000"/>
          <w:sz w:val="28"/>
          <w:szCs w:val="36"/>
        </w:rPr>
        <w:t xml:space="preserve"> </w:t>
      </w:r>
      <w:r w:rsidRPr="00285B2C">
        <w:rPr>
          <w:rFonts w:ascii="Arial" w:hAnsi="Arial" w:cs="Arial"/>
          <w:b/>
          <w:bCs/>
          <w:color w:val="000000"/>
          <w:sz w:val="28"/>
          <w:szCs w:val="36"/>
        </w:rPr>
        <w:t>20</w:t>
      </w:r>
      <w:r w:rsidR="00F12BF2" w:rsidRPr="00285B2C">
        <w:rPr>
          <w:rFonts w:ascii="Arial" w:hAnsi="Arial" w:cs="Arial"/>
          <w:b/>
          <w:bCs/>
          <w:color w:val="000000"/>
          <w:sz w:val="28"/>
          <w:szCs w:val="36"/>
        </w:rPr>
        <w:t>2</w:t>
      </w:r>
      <w:r w:rsidR="001C601A">
        <w:rPr>
          <w:rFonts w:ascii="Arial" w:hAnsi="Arial" w:cs="Arial"/>
          <w:b/>
          <w:bCs/>
          <w:color w:val="000000"/>
          <w:sz w:val="28"/>
          <w:szCs w:val="36"/>
        </w:rPr>
        <w:t>2</w:t>
      </w:r>
    </w:p>
    <w:p w14:paraId="29712D67" w14:textId="2FC9164B" w:rsidR="008322DB" w:rsidRDefault="008322DB" w:rsidP="00D86FC0">
      <w:pPr>
        <w:autoSpaceDE w:val="0"/>
        <w:autoSpaceDN w:val="0"/>
        <w:adjustRightInd w:val="0"/>
        <w:spacing w:after="0" w:line="240" w:lineRule="auto"/>
        <w:jc w:val="center"/>
        <w:rPr>
          <w:rFonts w:ascii="Arial" w:hAnsi="Arial" w:cs="Arial"/>
          <w:b/>
          <w:bCs/>
          <w:color w:val="000000"/>
          <w:sz w:val="36"/>
          <w:szCs w:val="36"/>
        </w:rPr>
      </w:pPr>
    </w:p>
    <w:p w14:paraId="3902946C" w14:textId="77777777" w:rsidR="00E74FC7" w:rsidRDefault="00E74FC7" w:rsidP="00E74FC7">
      <w:pPr>
        <w:pStyle w:val="Default"/>
        <w:spacing w:before="240"/>
        <w:jc w:val="both"/>
        <w:rPr>
          <w:b/>
          <w:color w:val="auto"/>
          <w:sz w:val="22"/>
          <w:szCs w:val="22"/>
        </w:rPr>
      </w:pPr>
      <w:r w:rsidRPr="00ED2168">
        <w:rPr>
          <w:b/>
          <w:color w:val="auto"/>
          <w:sz w:val="22"/>
          <w:szCs w:val="22"/>
        </w:rPr>
        <w:t>A. Linky dopravců plně integrované do VDV</w:t>
      </w:r>
    </w:p>
    <w:p w14:paraId="3304C13C" w14:textId="77777777" w:rsidR="00E74FC7" w:rsidRDefault="00E74FC7" w:rsidP="00E74FC7">
      <w:pPr>
        <w:pStyle w:val="Default"/>
        <w:spacing w:before="240"/>
        <w:jc w:val="both"/>
        <w:rPr>
          <w:color w:val="auto"/>
          <w:sz w:val="22"/>
          <w:szCs w:val="22"/>
        </w:rPr>
      </w:pPr>
      <w:r>
        <w:rPr>
          <w:color w:val="auto"/>
          <w:sz w:val="22"/>
          <w:szCs w:val="22"/>
        </w:rPr>
        <w:t>Na linkách a vyjmenovaných spojích se vydávají jízdní doklady VDV po celém území Kraje Vysočina, mimo přeprav přes hranice kraje (počáteční, nebo cílová stanice se nachází v jiném kraji), kde se použijí jízdní doklady dle tarifu dopravce.</w:t>
      </w:r>
    </w:p>
    <w:p w14:paraId="64842A6C" w14:textId="199E7F98" w:rsidR="0093072E" w:rsidRDefault="004F41A5" w:rsidP="00E74FC7">
      <w:pPr>
        <w:pStyle w:val="Default"/>
        <w:spacing w:before="240"/>
        <w:jc w:val="both"/>
        <w:rPr>
          <w:color w:val="auto"/>
          <w:sz w:val="22"/>
          <w:szCs w:val="22"/>
        </w:rPr>
      </w:pPr>
      <w:r w:rsidRPr="004F41A5">
        <w:rPr>
          <w:noProof/>
          <w:lang w:eastAsia="cs-CZ"/>
        </w:rPr>
        <w:drawing>
          <wp:inline distT="0" distB="0" distL="0" distR="0" wp14:anchorId="1A9EE745" wp14:editId="32FFC7BE">
            <wp:extent cx="5715000" cy="633730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337300"/>
                    </a:xfrm>
                    <a:prstGeom prst="rect">
                      <a:avLst/>
                    </a:prstGeom>
                    <a:noFill/>
                    <a:ln>
                      <a:noFill/>
                    </a:ln>
                  </pic:spPr>
                </pic:pic>
              </a:graphicData>
            </a:graphic>
          </wp:inline>
        </w:drawing>
      </w:r>
    </w:p>
    <w:p w14:paraId="3E6A343F" w14:textId="45F129DC" w:rsidR="00E25A92" w:rsidRDefault="004F41A5" w:rsidP="00E74FC7">
      <w:pPr>
        <w:pStyle w:val="Default"/>
        <w:spacing w:before="240"/>
        <w:jc w:val="both"/>
        <w:rPr>
          <w:color w:val="auto"/>
          <w:sz w:val="22"/>
          <w:szCs w:val="22"/>
        </w:rPr>
      </w:pPr>
      <w:r w:rsidRPr="004F41A5">
        <w:rPr>
          <w:noProof/>
          <w:lang w:eastAsia="cs-CZ"/>
        </w:rPr>
        <w:lastRenderedPageBreak/>
        <w:drawing>
          <wp:inline distT="0" distB="0" distL="0" distR="0" wp14:anchorId="32397461" wp14:editId="75B899CC">
            <wp:extent cx="5715000" cy="90868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9086850"/>
                    </a:xfrm>
                    <a:prstGeom prst="rect">
                      <a:avLst/>
                    </a:prstGeom>
                    <a:noFill/>
                    <a:ln>
                      <a:noFill/>
                    </a:ln>
                  </pic:spPr>
                </pic:pic>
              </a:graphicData>
            </a:graphic>
          </wp:inline>
        </w:drawing>
      </w:r>
    </w:p>
    <w:p w14:paraId="5875F802" w14:textId="642F1C3C" w:rsidR="00E74FC7" w:rsidRPr="00ED2168" w:rsidRDefault="00FA2988" w:rsidP="00E74FC7">
      <w:pPr>
        <w:pStyle w:val="Default"/>
        <w:spacing w:before="240"/>
        <w:jc w:val="both"/>
        <w:rPr>
          <w:color w:val="auto"/>
          <w:sz w:val="22"/>
          <w:szCs w:val="22"/>
        </w:rPr>
      </w:pPr>
      <w:r w:rsidRPr="00FA2988">
        <w:rPr>
          <w:noProof/>
          <w:lang w:eastAsia="cs-CZ"/>
        </w:rPr>
        <w:lastRenderedPageBreak/>
        <w:drawing>
          <wp:inline distT="0" distB="0" distL="0" distR="0" wp14:anchorId="59893568" wp14:editId="38B3C8E7">
            <wp:extent cx="5715000" cy="3270250"/>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70250"/>
                    </a:xfrm>
                    <a:prstGeom prst="rect">
                      <a:avLst/>
                    </a:prstGeom>
                    <a:noFill/>
                    <a:ln>
                      <a:noFill/>
                    </a:ln>
                  </pic:spPr>
                </pic:pic>
              </a:graphicData>
            </a:graphic>
          </wp:inline>
        </w:drawing>
      </w:r>
    </w:p>
    <w:p w14:paraId="40B83D11" w14:textId="4463DA88" w:rsidR="00E74FC7" w:rsidRDefault="00FA2988" w:rsidP="00E74FC7">
      <w:pPr>
        <w:pStyle w:val="Default"/>
        <w:spacing w:before="240"/>
        <w:jc w:val="both"/>
        <w:rPr>
          <w:b/>
          <w:color w:val="auto"/>
          <w:sz w:val="22"/>
          <w:szCs w:val="22"/>
        </w:rPr>
      </w:pPr>
      <w:r w:rsidRPr="00FA2988">
        <w:rPr>
          <w:noProof/>
          <w:lang w:eastAsia="cs-CZ"/>
        </w:rPr>
        <w:drawing>
          <wp:inline distT="0" distB="0" distL="0" distR="0" wp14:anchorId="00787305" wp14:editId="4A6CA0DB">
            <wp:extent cx="5715000" cy="2622550"/>
            <wp:effectExtent l="0" t="0" r="0"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622550"/>
                    </a:xfrm>
                    <a:prstGeom prst="rect">
                      <a:avLst/>
                    </a:prstGeom>
                    <a:noFill/>
                    <a:ln>
                      <a:noFill/>
                    </a:ln>
                  </pic:spPr>
                </pic:pic>
              </a:graphicData>
            </a:graphic>
          </wp:inline>
        </w:drawing>
      </w:r>
    </w:p>
    <w:p w14:paraId="7C89CB34" w14:textId="3FCEE10E" w:rsidR="006820E0" w:rsidRDefault="00DD7D43" w:rsidP="00E74FC7">
      <w:pPr>
        <w:pStyle w:val="Default"/>
        <w:spacing w:before="240"/>
        <w:jc w:val="both"/>
        <w:rPr>
          <w:b/>
          <w:color w:val="auto"/>
          <w:sz w:val="22"/>
          <w:szCs w:val="22"/>
        </w:rPr>
      </w:pPr>
      <w:r w:rsidRPr="00DD7D43">
        <w:rPr>
          <w:noProof/>
          <w:lang w:eastAsia="cs-CZ"/>
        </w:rPr>
        <w:drawing>
          <wp:inline distT="0" distB="0" distL="0" distR="0" wp14:anchorId="019E4DBC" wp14:editId="3118DE78">
            <wp:extent cx="5718175" cy="664845"/>
            <wp:effectExtent l="0" t="0" r="0" b="190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175" cy="664845"/>
                    </a:xfrm>
                    <a:prstGeom prst="rect">
                      <a:avLst/>
                    </a:prstGeom>
                    <a:noFill/>
                    <a:ln>
                      <a:noFill/>
                    </a:ln>
                  </pic:spPr>
                </pic:pic>
              </a:graphicData>
            </a:graphic>
          </wp:inline>
        </w:drawing>
      </w:r>
    </w:p>
    <w:p w14:paraId="7E9CB850" w14:textId="3D435EF3" w:rsidR="00FA2988" w:rsidRDefault="00FA2988" w:rsidP="00E74FC7">
      <w:pPr>
        <w:pStyle w:val="Default"/>
        <w:spacing w:before="240"/>
        <w:jc w:val="both"/>
        <w:rPr>
          <w:b/>
          <w:color w:val="auto"/>
          <w:sz w:val="22"/>
          <w:szCs w:val="22"/>
        </w:rPr>
      </w:pPr>
      <w:r w:rsidRPr="00FA2988">
        <w:rPr>
          <w:noProof/>
          <w:lang w:eastAsia="cs-CZ"/>
        </w:rPr>
        <w:drawing>
          <wp:inline distT="0" distB="0" distL="0" distR="0" wp14:anchorId="1756803C" wp14:editId="0D9F8F26">
            <wp:extent cx="5715000" cy="1327150"/>
            <wp:effectExtent l="0" t="0" r="0"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327150"/>
                    </a:xfrm>
                    <a:prstGeom prst="rect">
                      <a:avLst/>
                    </a:prstGeom>
                    <a:noFill/>
                    <a:ln>
                      <a:noFill/>
                    </a:ln>
                  </pic:spPr>
                </pic:pic>
              </a:graphicData>
            </a:graphic>
          </wp:inline>
        </w:drawing>
      </w:r>
    </w:p>
    <w:p w14:paraId="26347874" w14:textId="5E75500A" w:rsidR="00E74FC7" w:rsidRDefault="00E74FC7" w:rsidP="00E74FC7">
      <w:pPr>
        <w:pStyle w:val="Default"/>
        <w:spacing w:before="240"/>
        <w:jc w:val="both"/>
        <w:rPr>
          <w:b/>
          <w:color w:val="auto"/>
          <w:sz w:val="22"/>
          <w:szCs w:val="22"/>
        </w:rPr>
      </w:pPr>
    </w:p>
    <w:p w14:paraId="566E7E82" w14:textId="4FDD9B05" w:rsidR="006820E0" w:rsidRDefault="00FA2988" w:rsidP="00E74FC7">
      <w:pPr>
        <w:pStyle w:val="Default"/>
        <w:spacing w:before="240"/>
        <w:jc w:val="both"/>
        <w:rPr>
          <w:b/>
          <w:color w:val="auto"/>
          <w:sz w:val="22"/>
          <w:szCs w:val="22"/>
        </w:rPr>
      </w:pPr>
      <w:r w:rsidRPr="00FA2988">
        <w:rPr>
          <w:noProof/>
          <w:lang w:eastAsia="cs-CZ"/>
        </w:rPr>
        <w:lastRenderedPageBreak/>
        <w:drawing>
          <wp:inline distT="0" distB="0" distL="0" distR="0" wp14:anchorId="50430190" wp14:editId="4031C19E">
            <wp:extent cx="5715000" cy="48958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895850"/>
                    </a:xfrm>
                    <a:prstGeom prst="rect">
                      <a:avLst/>
                    </a:prstGeom>
                    <a:noFill/>
                    <a:ln>
                      <a:noFill/>
                    </a:ln>
                  </pic:spPr>
                </pic:pic>
              </a:graphicData>
            </a:graphic>
          </wp:inline>
        </w:drawing>
      </w:r>
    </w:p>
    <w:p w14:paraId="45FDC691" w14:textId="6E0BB0B1" w:rsidR="00E74FC7" w:rsidRDefault="00FA2988" w:rsidP="00E74FC7">
      <w:pPr>
        <w:pStyle w:val="Default"/>
        <w:spacing w:before="240"/>
        <w:jc w:val="both"/>
        <w:rPr>
          <w:b/>
          <w:color w:val="auto"/>
          <w:sz w:val="22"/>
          <w:szCs w:val="22"/>
        </w:rPr>
      </w:pPr>
      <w:r w:rsidRPr="00FA2988">
        <w:rPr>
          <w:noProof/>
          <w:lang w:eastAsia="cs-CZ"/>
        </w:rPr>
        <w:drawing>
          <wp:inline distT="0" distB="0" distL="0" distR="0" wp14:anchorId="4A8E4B71" wp14:editId="32AE915F">
            <wp:extent cx="5715000" cy="375285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752850"/>
                    </a:xfrm>
                    <a:prstGeom prst="rect">
                      <a:avLst/>
                    </a:prstGeom>
                    <a:noFill/>
                    <a:ln>
                      <a:noFill/>
                    </a:ln>
                  </pic:spPr>
                </pic:pic>
              </a:graphicData>
            </a:graphic>
          </wp:inline>
        </w:drawing>
      </w:r>
    </w:p>
    <w:p w14:paraId="33B78D01" w14:textId="1C053AB9" w:rsidR="00E74FC7" w:rsidRDefault="00FA2988" w:rsidP="00E74FC7">
      <w:pPr>
        <w:pStyle w:val="Default"/>
        <w:spacing w:before="240"/>
        <w:jc w:val="both"/>
        <w:rPr>
          <w:b/>
          <w:color w:val="auto"/>
          <w:sz w:val="22"/>
          <w:szCs w:val="22"/>
        </w:rPr>
      </w:pPr>
      <w:r w:rsidRPr="00FA2988">
        <w:rPr>
          <w:noProof/>
          <w:lang w:eastAsia="cs-CZ"/>
        </w:rPr>
        <w:lastRenderedPageBreak/>
        <w:drawing>
          <wp:inline distT="0" distB="0" distL="0" distR="0" wp14:anchorId="490EB184" wp14:editId="4A96F36B">
            <wp:extent cx="5715000" cy="909955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9099550"/>
                    </a:xfrm>
                    <a:prstGeom prst="rect">
                      <a:avLst/>
                    </a:prstGeom>
                    <a:noFill/>
                    <a:ln>
                      <a:noFill/>
                    </a:ln>
                  </pic:spPr>
                </pic:pic>
              </a:graphicData>
            </a:graphic>
          </wp:inline>
        </w:drawing>
      </w:r>
    </w:p>
    <w:p w14:paraId="4741C491" w14:textId="33F6C9CD" w:rsidR="00E74FC7" w:rsidRDefault="00FA2988" w:rsidP="00E74FC7">
      <w:pPr>
        <w:pStyle w:val="Default"/>
        <w:spacing w:before="240"/>
        <w:jc w:val="both"/>
        <w:rPr>
          <w:b/>
          <w:color w:val="auto"/>
          <w:sz w:val="22"/>
          <w:szCs w:val="22"/>
        </w:rPr>
      </w:pPr>
      <w:r w:rsidRPr="00FA2988">
        <w:rPr>
          <w:noProof/>
          <w:lang w:eastAsia="cs-CZ"/>
        </w:rPr>
        <w:lastRenderedPageBreak/>
        <w:drawing>
          <wp:inline distT="0" distB="0" distL="0" distR="0" wp14:anchorId="20CF3729" wp14:editId="0388D8EE">
            <wp:extent cx="5715000" cy="89344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8934450"/>
                    </a:xfrm>
                    <a:prstGeom prst="rect">
                      <a:avLst/>
                    </a:prstGeom>
                    <a:noFill/>
                    <a:ln>
                      <a:noFill/>
                    </a:ln>
                  </pic:spPr>
                </pic:pic>
              </a:graphicData>
            </a:graphic>
          </wp:inline>
        </w:drawing>
      </w:r>
    </w:p>
    <w:p w14:paraId="411EC020" w14:textId="2CE43ECA" w:rsidR="00E74FC7"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29CC96EB" wp14:editId="15DF26E8">
            <wp:extent cx="5715000" cy="893445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8934450"/>
                    </a:xfrm>
                    <a:prstGeom prst="rect">
                      <a:avLst/>
                    </a:prstGeom>
                    <a:noFill/>
                    <a:ln>
                      <a:noFill/>
                    </a:ln>
                  </pic:spPr>
                </pic:pic>
              </a:graphicData>
            </a:graphic>
          </wp:inline>
        </w:drawing>
      </w:r>
    </w:p>
    <w:p w14:paraId="0B7A9046" w14:textId="61FBB8B7" w:rsidR="006820E0"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40D7505C" wp14:editId="6BF99CA8">
            <wp:extent cx="5715000" cy="8299450"/>
            <wp:effectExtent l="0" t="0" r="0" b="635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8299450"/>
                    </a:xfrm>
                    <a:prstGeom prst="rect">
                      <a:avLst/>
                    </a:prstGeom>
                    <a:noFill/>
                    <a:ln>
                      <a:noFill/>
                    </a:ln>
                  </pic:spPr>
                </pic:pic>
              </a:graphicData>
            </a:graphic>
          </wp:inline>
        </w:drawing>
      </w:r>
    </w:p>
    <w:p w14:paraId="7A42E1BC" w14:textId="0AAD2015" w:rsidR="0097580B" w:rsidRDefault="0097580B" w:rsidP="00E74FC7">
      <w:pPr>
        <w:pStyle w:val="Default"/>
        <w:spacing w:before="240"/>
        <w:jc w:val="both"/>
        <w:rPr>
          <w:b/>
          <w:color w:val="auto"/>
          <w:sz w:val="22"/>
          <w:szCs w:val="22"/>
        </w:rPr>
      </w:pPr>
    </w:p>
    <w:p w14:paraId="7DA0FF80" w14:textId="3D6DA768" w:rsidR="0097580B"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77403EB2" wp14:editId="113871AD">
            <wp:extent cx="5715000" cy="876300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8763000"/>
                    </a:xfrm>
                    <a:prstGeom prst="rect">
                      <a:avLst/>
                    </a:prstGeom>
                    <a:noFill/>
                    <a:ln>
                      <a:noFill/>
                    </a:ln>
                  </pic:spPr>
                </pic:pic>
              </a:graphicData>
            </a:graphic>
          </wp:inline>
        </w:drawing>
      </w:r>
    </w:p>
    <w:p w14:paraId="02B22590" w14:textId="59D6248D" w:rsidR="003C28F6"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3A50C3D0" wp14:editId="4024AB8D">
            <wp:extent cx="5715000" cy="8451850"/>
            <wp:effectExtent l="0" t="0" r="0" b="635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8451850"/>
                    </a:xfrm>
                    <a:prstGeom prst="rect">
                      <a:avLst/>
                    </a:prstGeom>
                    <a:noFill/>
                    <a:ln>
                      <a:noFill/>
                    </a:ln>
                  </pic:spPr>
                </pic:pic>
              </a:graphicData>
            </a:graphic>
          </wp:inline>
        </w:drawing>
      </w:r>
    </w:p>
    <w:p w14:paraId="01ADF3C9" w14:textId="56109D11" w:rsidR="00146AC4" w:rsidRDefault="00146AC4" w:rsidP="00E74FC7">
      <w:pPr>
        <w:pStyle w:val="Default"/>
        <w:spacing w:before="240"/>
        <w:jc w:val="both"/>
        <w:rPr>
          <w:b/>
          <w:color w:val="auto"/>
          <w:sz w:val="22"/>
          <w:szCs w:val="22"/>
        </w:rPr>
      </w:pPr>
    </w:p>
    <w:p w14:paraId="0E1718EC" w14:textId="060B1E71" w:rsidR="003C28F6"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29338A6C" wp14:editId="7314F515">
            <wp:extent cx="5715000" cy="8928100"/>
            <wp:effectExtent l="0" t="0" r="0" b="635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8928100"/>
                    </a:xfrm>
                    <a:prstGeom prst="rect">
                      <a:avLst/>
                    </a:prstGeom>
                    <a:noFill/>
                    <a:ln>
                      <a:noFill/>
                    </a:ln>
                  </pic:spPr>
                </pic:pic>
              </a:graphicData>
            </a:graphic>
          </wp:inline>
        </w:drawing>
      </w:r>
    </w:p>
    <w:p w14:paraId="4D912CDB" w14:textId="2F6299FA" w:rsidR="003C28F6"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48C1CB8C" wp14:editId="4B058F98">
            <wp:extent cx="5715000" cy="87630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8763000"/>
                    </a:xfrm>
                    <a:prstGeom prst="rect">
                      <a:avLst/>
                    </a:prstGeom>
                    <a:noFill/>
                    <a:ln>
                      <a:noFill/>
                    </a:ln>
                  </pic:spPr>
                </pic:pic>
              </a:graphicData>
            </a:graphic>
          </wp:inline>
        </w:drawing>
      </w:r>
    </w:p>
    <w:p w14:paraId="74B3B482" w14:textId="497B7E0A" w:rsidR="00146AC4"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236E101E" wp14:editId="3C5FFD0C">
            <wp:extent cx="5715000" cy="908685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9086850"/>
                    </a:xfrm>
                    <a:prstGeom prst="rect">
                      <a:avLst/>
                    </a:prstGeom>
                    <a:noFill/>
                    <a:ln>
                      <a:noFill/>
                    </a:ln>
                  </pic:spPr>
                </pic:pic>
              </a:graphicData>
            </a:graphic>
          </wp:inline>
        </w:drawing>
      </w:r>
    </w:p>
    <w:p w14:paraId="295D21CE" w14:textId="0C8D2B93" w:rsidR="00266F08" w:rsidRDefault="0063226D" w:rsidP="00E74FC7">
      <w:pPr>
        <w:pStyle w:val="Default"/>
        <w:spacing w:before="240"/>
        <w:jc w:val="both"/>
        <w:rPr>
          <w:b/>
          <w:color w:val="auto"/>
          <w:sz w:val="22"/>
          <w:szCs w:val="22"/>
        </w:rPr>
      </w:pPr>
      <w:r w:rsidRPr="0063226D">
        <w:rPr>
          <w:noProof/>
          <w:lang w:eastAsia="cs-CZ"/>
        </w:rPr>
        <w:lastRenderedPageBreak/>
        <w:drawing>
          <wp:inline distT="0" distB="0" distL="0" distR="0" wp14:anchorId="04CBCC68" wp14:editId="510D76A3">
            <wp:extent cx="5715000" cy="2298700"/>
            <wp:effectExtent l="0" t="0" r="0" b="635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2298700"/>
                    </a:xfrm>
                    <a:prstGeom prst="rect">
                      <a:avLst/>
                    </a:prstGeom>
                    <a:noFill/>
                    <a:ln>
                      <a:noFill/>
                    </a:ln>
                  </pic:spPr>
                </pic:pic>
              </a:graphicData>
            </a:graphic>
          </wp:inline>
        </w:drawing>
      </w:r>
    </w:p>
    <w:p w14:paraId="4A086BCD" w14:textId="5ADD848E" w:rsidR="003C28F6" w:rsidRDefault="0063226D" w:rsidP="00E74FC7">
      <w:pPr>
        <w:pStyle w:val="Default"/>
        <w:spacing w:before="240"/>
        <w:jc w:val="both"/>
        <w:rPr>
          <w:b/>
          <w:color w:val="auto"/>
          <w:sz w:val="22"/>
          <w:szCs w:val="22"/>
        </w:rPr>
      </w:pPr>
      <w:r w:rsidRPr="0063226D">
        <w:rPr>
          <w:noProof/>
          <w:lang w:eastAsia="cs-CZ"/>
        </w:rPr>
        <w:drawing>
          <wp:inline distT="0" distB="0" distL="0" distR="0" wp14:anchorId="28F79986" wp14:editId="092B3D5B">
            <wp:extent cx="5715000" cy="1174750"/>
            <wp:effectExtent l="0" t="0" r="0" b="635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1174750"/>
                    </a:xfrm>
                    <a:prstGeom prst="rect">
                      <a:avLst/>
                    </a:prstGeom>
                    <a:noFill/>
                    <a:ln>
                      <a:noFill/>
                    </a:ln>
                  </pic:spPr>
                </pic:pic>
              </a:graphicData>
            </a:graphic>
          </wp:inline>
        </w:drawing>
      </w:r>
    </w:p>
    <w:p w14:paraId="2240D948" w14:textId="77777777" w:rsidR="00706AC8" w:rsidRDefault="00706AC8" w:rsidP="00E74FC7">
      <w:pPr>
        <w:pStyle w:val="Default"/>
        <w:spacing w:before="240"/>
        <w:jc w:val="both"/>
        <w:rPr>
          <w:b/>
          <w:color w:val="auto"/>
          <w:sz w:val="22"/>
          <w:szCs w:val="22"/>
        </w:rPr>
      </w:pPr>
    </w:p>
    <w:p w14:paraId="53BD501C" w14:textId="734B13BB" w:rsidR="00E74FC7" w:rsidRDefault="00E74FC7" w:rsidP="00E74FC7">
      <w:pPr>
        <w:pStyle w:val="Default"/>
        <w:spacing w:before="240"/>
        <w:jc w:val="both"/>
        <w:rPr>
          <w:b/>
          <w:color w:val="auto"/>
          <w:sz w:val="22"/>
          <w:szCs w:val="22"/>
        </w:rPr>
      </w:pPr>
      <w:r>
        <w:rPr>
          <w:b/>
          <w:color w:val="auto"/>
          <w:sz w:val="22"/>
          <w:szCs w:val="22"/>
        </w:rPr>
        <w:t>B</w:t>
      </w:r>
      <w:r w:rsidRPr="00ED2168">
        <w:rPr>
          <w:b/>
          <w:color w:val="auto"/>
          <w:sz w:val="22"/>
          <w:szCs w:val="22"/>
        </w:rPr>
        <w:t xml:space="preserve">. Linky dopravců </w:t>
      </w:r>
      <w:r>
        <w:rPr>
          <w:b/>
          <w:color w:val="auto"/>
          <w:sz w:val="22"/>
          <w:szCs w:val="22"/>
        </w:rPr>
        <w:t>na území Kraje Vysočina, kde je uznáván jiný tarif než tarif VDV.</w:t>
      </w:r>
      <w:bookmarkStart w:id="0" w:name="_GoBack"/>
      <w:bookmarkEnd w:id="0"/>
    </w:p>
    <w:p w14:paraId="20B71CC3" w14:textId="48F80D9D" w:rsidR="00E74FC7" w:rsidRDefault="00E74FC7" w:rsidP="00F25415">
      <w:pPr>
        <w:pStyle w:val="Default"/>
        <w:spacing w:before="240"/>
        <w:jc w:val="both"/>
        <w:rPr>
          <w:color w:val="auto"/>
          <w:sz w:val="22"/>
          <w:szCs w:val="22"/>
        </w:rPr>
      </w:pPr>
      <w:r>
        <w:rPr>
          <w:color w:val="auto"/>
          <w:sz w:val="22"/>
          <w:szCs w:val="22"/>
        </w:rPr>
        <w:t xml:space="preserve">Na linkách, vyjmenovaných spojích a úsecích se vydávají </w:t>
      </w:r>
      <w:r w:rsidRPr="00CD60CA">
        <w:rPr>
          <w:color w:val="auto"/>
          <w:sz w:val="22"/>
          <w:szCs w:val="22"/>
        </w:rPr>
        <w:t>jízdní doklady jiných IDS. Tyto jízdní doklady nelze použít pro přestup na linky VDV.</w:t>
      </w:r>
    </w:p>
    <w:p w14:paraId="6F2F0F02" w14:textId="77777777" w:rsidR="00F25415" w:rsidRDefault="00F25415" w:rsidP="00F25415">
      <w:pPr>
        <w:pStyle w:val="Default"/>
        <w:spacing w:before="240" w:after="240"/>
        <w:jc w:val="both"/>
        <w:rPr>
          <w:color w:val="auto"/>
          <w:sz w:val="22"/>
          <w:szCs w:val="22"/>
        </w:rPr>
      </w:pPr>
    </w:p>
    <w:p w14:paraId="07F3786E" w14:textId="457DDEAD" w:rsidR="009C3801" w:rsidRDefault="006D770D" w:rsidP="00E74FC7">
      <w:pPr>
        <w:pStyle w:val="Default"/>
        <w:spacing w:before="240"/>
        <w:jc w:val="both"/>
        <w:rPr>
          <w:color w:val="auto"/>
          <w:sz w:val="22"/>
          <w:szCs w:val="22"/>
        </w:rPr>
      </w:pPr>
      <w:r w:rsidRPr="006D770D">
        <w:rPr>
          <w:noProof/>
          <w:lang w:eastAsia="cs-CZ"/>
        </w:rPr>
        <w:drawing>
          <wp:inline distT="0" distB="0" distL="0" distR="0" wp14:anchorId="6E48137B" wp14:editId="730C9A06">
            <wp:extent cx="5718175" cy="676910"/>
            <wp:effectExtent l="0" t="0" r="0" b="889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8175" cy="676910"/>
                    </a:xfrm>
                    <a:prstGeom prst="rect">
                      <a:avLst/>
                    </a:prstGeom>
                    <a:noFill/>
                    <a:ln>
                      <a:noFill/>
                    </a:ln>
                  </pic:spPr>
                </pic:pic>
              </a:graphicData>
            </a:graphic>
          </wp:inline>
        </w:drawing>
      </w:r>
    </w:p>
    <w:p w14:paraId="6530CD2F" w14:textId="17885727" w:rsidR="00EA22D4" w:rsidRDefault="00EA22D4" w:rsidP="00EA22D4">
      <w:pPr>
        <w:pStyle w:val="Default"/>
        <w:spacing w:before="240"/>
        <w:jc w:val="both"/>
        <w:rPr>
          <w:color w:val="auto"/>
          <w:sz w:val="22"/>
          <w:szCs w:val="22"/>
        </w:rPr>
      </w:pPr>
      <w:r>
        <w:rPr>
          <w:color w:val="auto"/>
          <w:sz w:val="22"/>
          <w:szCs w:val="22"/>
        </w:rPr>
        <w:t xml:space="preserve">Na lince v úseku Ledeč n. Sázavou – </w:t>
      </w:r>
      <w:r w:rsidR="0011195E" w:rsidRPr="0011195E">
        <w:rPr>
          <w:color w:val="auto"/>
          <w:sz w:val="22"/>
          <w:szCs w:val="22"/>
        </w:rPr>
        <w:t>Ždírec nad Doubravou,,Cukrárna D</w:t>
      </w:r>
      <w:r w:rsidR="00702FB1">
        <w:rPr>
          <w:color w:val="auto"/>
          <w:sz w:val="22"/>
          <w:szCs w:val="22"/>
        </w:rPr>
        <w:t>I</w:t>
      </w:r>
      <w:r w:rsidR="0011195E" w:rsidRPr="0011195E">
        <w:rPr>
          <w:color w:val="auto"/>
          <w:sz w:val="22"/>
          <w:szCs w:val="22"/>
        </w:rPr>
        <w:t>PP</w:t>
      </w:r>
      <w:r>
        <w:rPr>
          <w:color w:val="auto"/>
          <w:sz w:val="22"/>
          <w:szCs w:val="22"/>
        </w:rPr>
        <w:t xml:space="preserve"> </w:t>
      </w:r>
      <w:r w:rsidRPr="006249C2">
        <w:rPr>
          <w:color w:val="auto"/>
          <w:sz w:val="22"/>
          <w:szCs w:val="22"/>
        </w:rPr>
        <w:t xml:space="preserve">a zpět platí tarif a smluvní přepravní podmínky </w:t>
      </w:r>
      <w:r>
        <w:rPr>
          <w:color w:val="auto"/>
          <w:sz w:val="22"/>
          <w:szCs w:val="22"/>
        </w:rPr>
        <w:t>VDV</w:t>
      </w:r>
      <w:r w:rsidRPr="006249C2">
        <w:rPr>
          <w:color w:val="auto"/>
          <w:sz w:val="22"/>
          <w:szCs w:val="22"/>
        </w:rPr>
        <w:t>.</w:t>
      </w:r>
    </w:p>
    <w:p w14:paraId="1C3C7B4A" w14:textId="344626C1" w:rsidR="00EA22D4" w:rsidRDefault="00EA22D4" w:rsidP="0058595A">
      <w:pPr>
        <w:pStyle w:val="Default"/>
        <w:jc w:val="both"/>
        <w:rPr>
          <w:color w:val="auto"/>
          <w:sz w:val="22"/>
          <w:szCs w:val="22"/>
        </w:rPr>
      </w:pPr>
      <w:r>
        <w:rPr>
          <w:color w:val="auto"/>
          <w:sz w:val="22"/>
          <w:szCs w:val="22"/>
        </w:rPr>
        <w:t>Na lince v</w:t>
      </w:r>
      <w:r w:rsidRPr="006249C2">
        <w:rPr>
          <w:color w:val="auto"/>
          <w:sz w:val="22"/>
          <w:szCs w:val="22"/>
        </w:rPr>
        <w:t xml:space="preserve"> úseku </w:t>
      </w:r>
      <w:r w:rsidR="0011195E" w:rsidRPr="0011195E">
        <w:rPr>
          <w:color w:val="auto"/>
          <w:sz w:val="22"/>
          <w:szCs w:val="22"/>
        </w:rPr>
        <w:t>Ždírec nad Doubravou,,Cukrárna D</w:t>
      </w:r>
      <w:r w:rsidR="00702FB1">
        <w:rPr>
          <w:color w:val="auto"/>
          <w:sz w:val="22"/>
          <w:szCs w:val="22"/>
        </w:rPr>
        <w:t>I</w:t>
      </w:r>
      <w:r w:rsidR="0011195E" w:rsidRPr="0011195E">
        <w:rPr>
          <w:color w:val="auto"/>
          <w:sz w:val="22"/>
          <w:szCs w:val="22"/>
        </w:rPr>
        <w:t>PP</w:t>
      </w:r>
      <w:r w:rsidRPr="006249C2">
        <w:rPr>
          <w:color w:val="auto"/>
          <w:sz w:val="22"/>
          <w:szCs w:val="22"/>
        </w:rPr>
        <w:t xml:space="preserve"> </w:t>
      </w:r>
      <w:r>
        <w:rPr>
          <w:color w:val="auto"/>
          <w:sz w:val="22"/>
          <w:szCs w:val="22"/>
        </w:rPr>
        <w:t xml:space="preserve">– hranice kraje </w:t>
      </w:r>
      <w:r w:rsidRPr="006249C2">
        <w:rPr>
          <w:color w:val="auto"/>
          <w:sz w:val="22"/>
          <w:szCs w:val="22"/>
        </w:rPr>
        <w:t xml:space="preserve">a zpět platí tarif a smluvní přepravní podmínky </w:t>
      </w:r>
      <w:r w:rsidR="008A25F0">
        <w:rPr>
          <w:color w:val="auto"/>
          <w:sz w:val="22"/>
          <w:szCs w:val="22"/>
        </w:rPr>
        <w:t>IREDO</w:t>
      </w:r>
      <w:r w:rsidRPr="006249C2">
        <w:rPr>
          <w:color w:val="auto"/>
          <w:sz w:val="22"/>
          <w:szCs w:val="22"/>
        </w:rPr>
        <w:t>.</w:t>
      </w:r>
    </w:p>
    <w:p w14:paraId="575278FC" w14:textId="2BAEDA11" w:rsidR="00EA22D4" w:rsidRDefault="00EA22D4" w:rsidP="0058595A">
      <w:pPr>
        <w:pStyle w:val="Default"/>
        <w:jc w:val="both"/>
        <w:rPr>
          <w:color w:val="auto"/>
          <w:sz w:val="22"/>
          <w:szCs w:val="22"/>
        </w:rPr>
      </w:pPr>
      <w:r>
        <w:rPr>
          <w:color w:val="auto"/>
          <w:sz w:val="22"/>
          <w:szCs w:val="22"/>
        </w:rPr>
        <w:t xml:space="preserve">Pro přepravu mezi jednotlivými IDS </w:t>
      </w:r>
      <w:r w:rsidR="008A25F0">
        <w:rPr>
          <w:color w:val="auto"/>
          <w:sz w:val="22"/>
          <w:szCs w:val="22"/>
        </w:rPr>
        <w:t>se</w:t>
      </w:r>
      <w:r>
        <w:rPr>
          <w:color w:val="auto"/>
          <w:sz w:val="22"/>
          <w:szCs w:val="22"/>
        </w:rPr>
        <w:t xml:space="preserve"> použi</w:t>
      </w:r>
      <w:r w:rsidR="008A25F0">
        <w:rPr>
          <w:color w:val="auto"/>
          <w:sz w:val="22"/>
          <w:szCs w:val="22"/>
        </w:rPr>
        <w:t>je</w:t>
      </w:r>
      <w:r>
        <w:rPr>
          <w:color w:val="auto"/>
          <w:sz w:val="22"/>
          <w:szCs w:val="22"/>
        </w:rPr>
        <w:t xml:space="preserve"> tarif dopravce.</w:t>
      </w:r>
    </w:p>
    <w:p w14:paraId="5BCD8056" w14:textId="77777777" w:rsidR="00F25415" w:rsidRDefault="00F25415" w:rsidP="00F25415">
      <w:pPr>
        <w:pStyle w:val="Default"/>
        <w:jc w:val="both"/>
        <w:rPr>
          <w:color w:val="auto"/>
          <w:sz w:val="22"/>
          <w:szCs w:val="22"/>
        </w:rPr>
      </w:pPr>
    </w:p>
    <w:p w14:paraId="75C13C2E" w14:textId="77777777" w:rsidR="00F25415" w:rsidRDefault="00F25415" w:rsidP="00F25415">
      <w:pPr>
        <w:pStyle w:val="Default"/>
        <w:spacing w:before="240"/>
        <w:jc w:val="both"/>
        <w:rPr>
          <w:b/>
          <w:color w:val="auto"/>
          <w:sz w:val="22"/>
          <w:szCs w:val="22"/>
        </w:rPr>
      </w:pPr>
      <w:r w:rsidRPr="002848F1">
        <w:rPr>
          <w:noProof/>
          <w:lang w:eastAsia="cs-CZ"/>
        </w:rPr>
        <w:drawing>
          <wp:inline distT="0" distB="0" distL="0" distR="0" wp14:anchorId="34CD5B32" wp14:editId="45306AF9">
            <wp:extent cx="5718175" cy="676910"/>
            <wp:effectExtent l="0" t="0" r="0" b="889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8175" cy="676910"/>
                    </a:xfrm>
                    <a:prstGeom prst="rect">
                      <a:avLst/>
                    </a:prstGeom>
                    <a:noFill/>
                    <a:ln>
                      <a:noFill/>
                    </a:ln>
                  </pic:spPr>
                </pic:pic>
              </a:graphicData>
            </a:graphic>
          </wp:inline>
        </w:drawing>
      </w:r>
    </w:p>
    <w:p w14:paraId="112EA1DB" w14:textId="77777777" w:rsidR="00F25415" w:rsidRDefault="00F25415" w:rsidP="00F25415">
      <w:pPr>
        <w:pStyle w:val="Default"/>
        <w:spacing w:before="240"/>
        <w:jc w:val="both"/>
        <w:rPr>
          <w:color w:val="auto"/>
          <w:sz w:val="22"/>
          <w:szCs w:val="22"/>
        </w:rPr>
      </w:pPr>
      <w:r>
        <w:rPr>
          <w:color w:val="auto"/>
          <w:sz w:val="22"/>
          <w:szCs w:val="22"/>
        </w:rPr>
        <w:t xml:space="preserve">Na lince v úseku Žďár nad Sázavou – </w:t>
      </w:r>
      <w:r w:rsidRPr="0011195E">
        <w:rPr>
          <w:color w:val="auto"/>
          <w:sz w:val="22"/>
          <w:szCs w:val="22"/>
        </w:rPr>
        <w:t>Ždírec nad Doubravou,,Cukrárna D</w:t>
      </w:r>
      <w:r>
        <w:rPr>
          <w:color w:val="auto"/>
          <w:sz w:val="22"/>
          <w:szCs w:val="22"/>
        </w:rPr>
        <w:t>I</w:t>
      </w:r>
      <w:r w:rsidRPr="0011195E">
        <w:rPr>
          <w:color w:val="auto"/>
          <w:sz w:val="22"/>
          <w:szCs w:val="22"/>
        </w:rPr>
        <w:t>PP</w:t>
      </w:r>
      <w:r>
        <w:rPr>
          <w:color w:val="auto"/>
          <w:sz w:val="22"/>
          <w:szCs w:val="22"/>
        </w:rPr>
        <w:t xml:space="preserve"> </w:t>
      </w:r>
      <w:r w:rsidRPr="006249C2">
        <w:rPr>
          <w:color w:val="auto"/>
          <w:sz w:val="22"/>
          <w:szCs w:val="22"/>
        </w:rPr>
        <w:t xml:space="preserve">a zpět platí tarif a smluvní přepravní podmínky </w:t>
      </w:r>
      <w:r>
        <w:rPr>
          <w:color w:val="auto"/>
          <w:sz w:val="22"/>
          <w:szCs w:val="22"/>
        </w:rPr>
        <w:t>VDV</w:t>
      </w:r>
      <w:r w:rsidRPr="006249C2">
        <w:rPr>
          <w:color w:val="auto"/>
          <w:sz w:val="22"/>
          <w:szCs w:val="22"/>
        </w:rPr>
        <w:t>.</w:t>
      </w:r>
    </w:p>
    <w:p w14:paraId="45040CD3" w14:textId="77777777" w:rsidR="00F25415" w:rsidRDefault="00F25415" w:rsidP="00F25415">
      <w:pPr>
        <w:pStyle w:val="Default"/>
        <w:jc w:val="both"/>
        <w:rPr>
          <w:color w:val="auto"/>
          <w:sz w:val="22"/>
          <w:szCs w:val="22"/>
        </w:rPr>
      </w:pPr>
      <w:r>
        <w:rPr>
          <w:color w:val="auto"/>
          <w:sz w:val="22"/>
          <w:szCs w:val="22"/>
        </w:rPr>
        <w:t>Na lince v</w:t>
      </w:r>
      <w:r w:rsidRPr="006249C2">
        <w:rPr>
          <w:color w:val="auto"/>
          <w:sz w:val="22"/>
          <w:szCs w:val="22"/>
        </w:rPr>
        <w:t xml:space="preserve"> úseku </w:t>
      </w:r>
      <w:r w:rsidRPr="0011195E">
        <w:rPr>
          <w:color w:val="auto"/>
          <w:sz w:val="22"/>
          <w:szCs w:val="22"/>
        </w:rPr>
        <w:t>Ždírec nad Doubravou,,Cukrárna D</w:t>
      </w:r>
      <w:r>
        <w:rPr>
          <w:color w:val="auto"/>
          <w:sz w:val="22"/>
          <w:szCs w:val="22"/>
        </w:rPr>
        <w:t>I</w:t>
      </w:r>
      <w:r w:rsidRPr="0011195E">
        <w:rPr>
          <w:color w:val="auto"/>
          <w:sz w:val="22"/>
          <w:szCs w:val="22"/>
        </w:rPr>
        <w:t>PP</w:t>
      </w:r>
      <w:r w:rsidRPr="006249C2">
        <w:rPr>
          <w:color w:val="auto"/>
          <w:sz w:val="22"/>
          <w:szCs w:val="22"/>
        </w:rPr>
        <w:t xml:space="preserve"> </w:t>
      </w:r>
      <w:r>
        <w:rPr>
          <w:color w:val="auto"/>
          <w:sz w:val="22"/>
          <w:szCs w:val="22"/>
        </w:rPr>
        <w:t xml:space="preserve">– hranice kraje </w:t>
      </w:r>
      <w:r w:rsidRPr="006249C2">
        <w:rPr>
          <w:color w:val="auto"/>
          <w:sz w:val="22"/>
          <w:szCs w:val="22"/>
        </w:rPr>
        <w:t xml:space="preserve">a zpět platí tarif a smluvní přepravní podmínky </w:t>
      </w:r>
      <w:r>
        <w:rPr>
          <w:color w:val="auto"/>
          <w:sz w:val="22"/>
          <w:szCs w:val="22"/>
        </w:rPr>
        <w:t>IREDO</w:t>
      </w:r>
      <w:r w:rsidRPr="006249C2">
        <w:rPr>
          <w:color w:val="auto"/>
          <w:sz w:val="22"/>
          <w:szCs w:val="22"/>
        </w:rPr>
        <w:t>.</w:t>
      </w:r>
    </w:p>
    <w:p w14:paraId="476CD251" w14:textId="77777777" w:rsidR="00F25415" w:rsidRDefault="00F25415" w:rsidP="00F25415">
      <w:pPr>
        <w:pStyle w:val="Default"/>
        <w:jc w:val="both"/>
        <w:rPr>
          <w:color w:val="auto"/>
          <w:sz w:val="22"/>
          <w:szCs w:val="22"/>
        </w:rPr>
      </w:pPr>
      <w:r>
        <w:rPr>
          <w:color w:val="auto"/>
          <w:sz w:val="22"/>
          <w:szCs w:val="22"/>
        </w:rPr>
        <w:t>Pro přepravu mezi jednotlivými IDS se použije tarif dopravce.</w:t>
      </w:r>
    </w:p>
    <w:p w14:paraId="631741AF" w14:textId="59039623" w:rsidR="00E74FC7" w:rsidRDefault="00E74FC7" w:rsidP="00E74FC7">
      <w:pPr>
        <w:pStyle w:val="Default"/>
        <w:spacing w:before="240"/>
        <w:jc w:val="both"/>
        <w:rPr>
          <w:b/>
          <w:color w:val="auto"/>
          <w:sz w:val="22"/>
          <w:szCs w:val="22"/>
        </w:rPr>
      </w:pPr>
      <w:r w:rsidRPr="00B550F4">
        <w:rPr>
          <w:noProof/>
          <w:lang w:eastAsia="cs-CZ"/>
        </w:rPr>
        <w:lastRenderedPageBreak/>
        <w:drawing>
          <wp:inline distT="0" distB="0" distL="0" distR="0" wp14:anchorId="5F6CE811" wp14:editId="700FBC8C">
            <wp:extent cx="5718175" cy="676910"/>
            <wp:effectExtent l="0" t="0" r="0" b="889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8175" cy="676910"/>
                    </a:xfrm>
                    <a:prstGeom prst="rect">
                      <a:avLst/>
                    </a:prstGeom>
                    <a:noFill/>
                    <a:ln>
                      <a:noFill/>
                    </a:ln>
                  </pic:spPr>
                </pic:pic>
              </a:graphicData>
            </a:graphic>
          </wp:inline>
        </w:drawing>
      </w:r>
    </w:p>
    <w:p w14:paraId="0E3FCBFD" w14:textId="286ECEC3" w:rsidR="00E74FC7" w:rsidRDefault="00557299" w:rsidP="00E74FC7">
      <w:pPr>
        <w:pStyle w:val="Default"/>
        <w:spacing w:before="240"/>
        <w:jc w:val="both"/>
        <w:rPr>
          <w:color w:val="auto"/>
          <w:sz w:val="22"/>
          <w:szCs w:val="22"/>
        </w:rPr>
      </w:pPr>
      <w:r w:rsidRPr="00557299">
        <w:rPr>
          <w:noProof/>
          <w:lang w:eastAsia="cs-CZ"/>
        </w:rPr>
        <w:drawing>
          <wp:inline distT="0" distB="0" distL="0" distR="0" wp14:anchorId="5D2CAB20" wp14:editId="45B413F7">
            <wp:extent cx="5715000" cy="679450"/>
            <wp:effectExtent l="0" t="0" r="0" b="635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679450"/>
                    </a:xfrm>
                    <a:prstGeom prst="rect">
                      <a:avLst/>
                    </a:prstGeom>
                    <a:noFill/>
                    <a:ln>
                      <a:noFill/>
                    </a:ln>
                  </pic:spPr>
                </pic:pic>
              </a:graphicData>
            </a:graphic>
          </wp:inline>
        </w:drawing>
      </w:r>
    </w:p>
    <w:p w14:paraId="40817497" w14:textId="146686C4" w:rsidR="00E74FC7" w:rsidRDefault="00E74FC7" w:rsidP="00E74FC7">
      <w:pPr>
        <w:pStyle w:val="Default"/>
        <w:spacing w:before="240"/>
        <w:jc w:val="both"/>
        <w:rPr>
          <w:color w:val="auto"/>
          <w:sz w:val="22"/>
          <w:szCs w:val="22"/>
        </w:rPr>
      </w:pPr>
      <w:r>
        <w:rPr>
          <w:color w:val="auto"/>
          <w:sz w:val="22"/>
          <w:szCs w:val="22"/>
        </w:rPr>
        <w:t>Na linkách 760760 a 830700 v</w:t>
      </w:r>
      <w:r w:rsidRPr="006249C2">
        <w:rPr>
          <w:color w:val="auto"/>
          <w:sz w:val="22"/>
          <w:szCs w:val="22"/>
        </w:rPr>
        <w:t xml:space="preserve"> úseku </w:t>
      </w:r>
      <w:r>
        <w:rPr>
          <w:color w:val="auto"/>
          <w:sz w:val="22"/>
          <w:szCs w:val="22"/>
        </w:rPr>
        <w:t xml:space="preserve">Jihlava,,aut.nádr. - </w:t>
      </w:r>
      <w:r w:rsidR="00557299">
        <w:rPr>
          <w:color w:val="auto"/>
          <w:sz w:val="22"/>
          <w:szCs w:val="22"/>
        </w:rPr>
        <w:t>Litohoř</w:t>
      </w:r>
      <w:r w:rsidRPr="006249C2">
        <w:rPr>
          <w:color w:val="auto"/>
          <w:sz w:val="22"/>
          <w:szCs w:val="22"/>
        </w:rPr>
        <w:t xml:space="preserve"> a zpět platí tarif a smluvní přepravní podmínky </w:t>
      </w:r>
      <w:r>
        <w:rPr>
          <w:color w:val="auto"/>
          <w:sz w:val="22"/>
          <w:szCs w:val="22"/>
        </w:rPr>
        <w:t>VDV</w:t>
      </w:r>
      <w:r w:rsidRPr="006249C2">
        <w:rPr>
          <w:color w:val="auto"/>
          <w:sz w:val="22"/>
          <w:szCs w:val="22"/>
        </w:rPr>
        <w:t>.</w:t>
      </w:r>
    </w:p>
    <w:p w14:paraId="416289DD" w14:textId="12BFF0B5" w:rsidR="00E74FC7" w:rsidRDefault="00E74FC7" w:rsidP="0058595A">
      <w:pPr>
        <w:pStyle w:val="Default"/>
        <w:jc w:val="both"/>
        <w:rPr>
          <w:color w:val="auto"/>
          <w:sz w:val="22"/>
          <w:szCs w:val="22"/>
        </w:rPr>
      </w:pPr>
      <w:r>
        <w:rPr>
          <w:color w:val="auto"/>
          <w:sz w:val="22"/>
          <w:szCs w:val="22"/>
        </w:rPr>
        <w:t>Na linkách 760760 a 830700 v</w:t>
      </w:r>
      <w:r w:rsidRPr="006249C2">
        <w:rPr>
          <w:color w:val="auto"/>
          <w:sz w:val="22"/>
          <w:szCs w:val="22"/>
        </w:rPr>
        <w:t xml:space="preserve"> úseku Moravské Budějovice,,aut.nádr. - Znojmo,</w:t>
      </w:r>
      <w:r w:rsidR="0011195E">
        <w:rPr>
          <w:color w:val="auto"/>
          <w:sz w:val="22"/>
          <w:szCs w:val="22"/>
        </w:rPr>
        <w:t>,</w:t>
      </w:r>
      <w:r w:rsidRPr="006249C2">
        <w:rPr>
          <w:color w:val="auto"/>
          <w:sz w:val="22"/>
          <w:szCs w:val="22"/>
        </w:rPr>
        <w:t>aut..nádr. a zpět platí tarif a smluvní přepravní podmínky IDS JMK.</w:t>
      </w:r>
    </w:p>
    <w:p w14:paraId="7C4FC849" w14:textId="0CC4E9BC" w:rsidR="00E74FC7" w:rsidRDefault="00E74FC7" w:rsidP="0058595A">
      <w:pPr>
        <w:pStyle w:val="Default"/>
        <w:jc w:val="both"/>
        <w:rPr>
          <w:color w:val="auto"/>
          <w:sz w:val="22"/>
          <w:szCs w:val="22"/>
        </w:rPr>
      </w:pPr>
      <w:r>
        <w:rPr>
          <w:color w:val="auto"/>
          <w:sz w:val="22"/>
          <w:szCs w:val="22"/>
        </w:rPr>
        <w:t xml:space="preserve">Pro přepravu mezi jednotlivými IDS </w:t>
      </w:r>
      <w:r w:rsidR="008A25F0">
        <w:rPr>
          <w:color w:val="auto"/>
          <w:sz w:val="22"/>
          <w:szCs w:val="22"/>
        </w:rPr>
        <w:t>se</w:t>
      </w:r>
      <w:r>
        <w:rPr>
          <w:color w:val="auto"/>
          <w:sz w:val="22"/>
          <w:szCs w:val="22"/>
        </w:rPr>
        <w:t xml:space="preserve"> použi</w:t>
      </w:r>
      <w:r w:rsidR="008A25F0">
        <w:rPr>
          <w:color w:val="auto"/>
          <w:sz w:val="22"/>
          <w:szCs w:val="22"/>
        </w:rPr>
        <w:t>je</w:t>
      </w:r>
      <w:r>
        <w:rPr>
          <w:color w:val="auto"/>
          <w:sz w:val="22"/>
          <w:szCs w:val="22"/>
        </w:rPr>
        <w:t xml:space="preserve"> tarif dopravce.</w:t>
      </w:r>
    </w:p>
    <w:p w14:paraId="1A262E5C" w14:textId="5DE282B3" w:rsidR="00906D54" w:rsidRDefault="00906D54" w:rsidP="0058595A">
      <w:pPr>
        <w:pStyle w:val="Default"/>
        <w:jc w:val="both"/>
        <w:rPr>
          <w:color w:val="auto"/>
          <w:sz w:val="22"/>
          <w:szCs w:val="22"/>
        </w:rPr>
      </w:pPr>
    </w:p>
    <w:p w14:paraId="6AD85E9D" w14:textId="799032E0" w:rsidR="0055186B" w:rsidRPr="0055186B" w:rsidRDefault="0055186B" w:rsidP="0055186B">
      <w:pPr>
        <w:pStyle w:val="Nadpis2"/>
        <w:numPr>
          <w:ilvl w:val="0"/>
          <w:numId w:val="0"/>
        </w:numPr>
        <w:rPr>
          <w:sz w:val="22"/>
        </w:rPr>
      </w:pPr>
      <w:r w:rsidRPr="0055186B">
        <w:rPr>
          <w:sz w:val="22"/>
        </w:rPr>
        <w:t xml:space="preserve">Překryv </w:t>
      </w:r>
      <w:r>
        <w:rPr>
          <w:sz w:val="22"/>
        </w:rPr>
        <w:t>VDV</w:t>
      </w:r>
      <w:r w:rsidRPr="0055186B">
        <w:rPr>
          <w:sz w:val="22"/>
        </w:rPr>
        <w:t xml:space="preserve"> s Integrovaným dopravním systémem </w:t>
      </w:r>
      <w:r>
        <w:rPr>
          <w:sz w:val="22"/>
        </w:rPr>
        <w:t>PID</w:t>
      </w:r>
    </w:p>
    <w:p w14:paraId="09B2AB38" w14:textId="77777777" w:rsidR="0055186B" w:rsidRPr="006B4474" w:rsidRDefault="0055186B" w:rsidP="0055186B">
      <w:pPr>
        <w:numPr>
          <w:ilvl w:val="1"/>
          <w:numId w:val="42"/>
        </w:numPr>
        <w:tabs>
          <w:tab w:val="right" w:leader="dot" w:pos="9639"/>
        </w:tabs>
        <w:spacing w:before="60" w:after="0" w:line="240" w:lineRule="auto"/>
        <w:jc w:val="both"/>
      </w:pPr>
      <w:r w:rsidRPr="006B4474">
        <w:t>Překryvná oblast PID a VDV tvoří přechod mezi Středočeským krajem a Krajem Vysočina. Zahrnuje železniční a autobusovou dopravu.</w:t>
      </w:r>
    </w:p>
    <w:p w14:paraId="265F3253" w14:textId="1FA4B72B" w:rsidR="0055186B" w:rsidRPr="006B4474" w:rsidRDefault="0055186B" w:rsidP="0055186B">
      <w:pPr>
        <w:numPr>
          <w:ilvl w:val="1"/>
          <w:numId w:val="42"/>
        </w:numPr>
        <w:tabs>
          <w:tab w:val="right" w:leader="dot" w:pos="9639"/>
        </w:tabs>
        <w:spacing w:before="60" w:after="0" w:line="240" w:lineRule="auto"/>
        <w:jc w:val="both"/>
      </w:pPr>
      <w:r w:rsidRPr="006B4474">
        <w:t xml:space="preserve">Znění Tarifu </w:t>
      </w:r>
      <w:r>
        <w:t>PID</w:t>
      </w:r>
      <w:r w:rsidRPr="006B4474">
        <w:t xml:space="preserve"> je dostupné na </w:t>
      </w:r>
      <w:hyperlink r:id="rId31" w:history="1">
        <w:r w:rsidRPr="00674944">
          <w:rPr>
            <w:rStyle w:val="Hypertextovodkaz"/>
          </w:rPr>
          <w:t>www.pid.cz</w:t>
        </w:r>
      </w:hyperlink>
      <w:r w:rsidRPr="006B4474">
        <w:t>.</w:t>
      </w:r>
    </w:p>
    <w:p w14:paraId="2D1A6FB9" w14:textId="77777777" w:rsidR="0055186B" w:rsidRPr="006B4474" w:rsidRDefault="0055186B" w:rsidP="0055186B">
      <w:pPr>
        <w:numPr>
          <w:ilvl w:val="1"/>
          <w:numId w:val="42"/>
        </w:numPr>
        <w:tabs>
          <w:tab w:val="right" w:leader="dot" w:pos="9639"/>
        </w:tabs>
        <w:spacing w:before="60" w:after="0" w:line="240" w:lineRule="auto"/>
        <w:jc w:val="both"/>
      </w:pPr>
      <w:r w:rsidRPr="006B4474">
        <w:t xml:space="preserve">Na mezikrajských autobusových linkách </w:t>
      </w:r>
      <w:r w:rsidRPr="006B4474">
        <w:rPr>
          <w:rStyle w:val="Tun"/>
        </w:rPr>
        <w:t>PID/VDV</w:t>
      </w:r>
      <w:r w:rsidRPr="006B4474">
        <w:t xml:space="preserve"> jsou kromě jízdních dokladů dle Tarifu PID uznávány také jízdní doklady VDV dle své zónové, relační a časové platnosti v systému VDV. Ve vozidle (u řidiče) se vydávají jízdní doklady dle Tarifu PID nebo dle Tarifu VDV. Úseky na těchto linkách, kde lze využívat jízdné dle Tarifu VDV, jsou uvedeny v jízdních řádech. Úseky na těchto linkách, kde lze využívat jízdné dle Tarifu PID, jsou uvedeny v jízdních řádech.</w:t>
      </w:r>
    </w:p>
    <w:p w14:paraId="6A3CD051" w14:textId="77777777" w:rsidR="0055186B" w:rsidRPr="006B4474" w:rsidRDefault="0055186B" w:rsidP="0055186B">
      <w:pPr>
        <w:numPr>
          <w:ilvl w:val="1"/>
          <w:numId w:val="42"/>
        </w:numPr>
        <w:tabs>
          <w:tab w:val="right" w:leader="dot" w:pos="9639"/>
        </w:tabs>
        <w:spacing w:before="60" w:after="0" w:line="240" w:lineRule="auto"/>
        <w:jc w:val="both"/>
      </w:pPr>
      <w:r w:rsidRPr="006B4474">
        <w:t>Nárok na bezplatnou přepravu a zvláštní ceny jízdného dle Tarifu PID se uplatňuje pouze na území hl. m. Prahy a Středočeského kraje s případným přesahem na území Kraje Vysočina maximálně však do dělicí zastávky uvedené v odst. 6. Nárok na bezplatnou přepravu dle Tarifu VDV se uplatňuje pouze na území Kraje Vysočina bez přesahu do Středočeského kraje.</w:t>
      </w:r>
    </w:p>
    <w:p w14:paraId="3A109189" w14:textId="77777777" w:rsidR="0055186B" w:rsidRPr="006B4474" w:rsidRDefault="0055186B" w:rsidP="0055186B">
      <w:pPr>
        <w:numPr>
          <w:ilvl w:val="1"/>
          <w:numId w:val="42"/>
        </w:numPr>
        <w:tabs>
          <w:tab w:val="right" w:leader="dot" w:pos="9639"/>
        </w:tabs>
        <w:spacing w:before="60" w:after="0" w:line="240" w:lineRule="auto"/>
        <w:jc w:val="both"/>
      </w:pPr>
      <w:r w:rsidRPr="006B4474">
        <w:t>Přeprava zavazadel a psů se při použití platného jízdního dokladu PID pro cestujícího řídí Tarifem PID, při použití platného jízdního dokladu VDV se pro cestujícího řídí Tarifem VDV. Zařazení do tarifních zón, resp. tarifních pásem je uvedeno v jízdních řádech.</w:t>
      </w:r>
    </w:p>
    <w:p w14:paraId="28AC1401" w14:textId="77777777" w:rsidR="0055186B" w:rsidRPr="006B4474" w:rsidRDefault="0055186B" w:rsidP="0055186B">
      <w:pPr>
        <w:numPr>
          <w:ilvl w:val="1"/>
          <w:numId w:val="42"/>
        </w:numPr>
        <w:tabs>
          <w:tab w:val="right" w:leader="dot" w:pos="9639"/>
        </w:tabs>
        <w:spacing w:before="60" w:after="0" w:line="240" w:lineRule="auto"/>
        <w:jc w:val="both"/>
      </w:pPr>
      <w:r w:rsidRPr="006B4474">
        <w:t xml:space="preserve">Seznam linek s vyznačenými úseky, kde je uplatňována bezplatná přeprava a zvláštní ceny jízdného dle Tarifu PID a kde jsou přirážky za porušení přepravních a tarifních podmínek cestujícím uplatňovány dle Tarifu PID </w:t>
      </w:r>
      <w:r>
        <w:t>a SPP PID</w:t>
      </w:r>
      <w:r w:rsidRPr="006B4474">
        <w:t>:</w:t>
      </w:r>
    </w:p>
    <w:tbl>
      <w:tblPr>
        <w:tblStyle w:val="Mkatabulky"/>
        <w:tblW w:w="8495" w:type="dxa"/>
        <w:tblInd w:w="567" w:type="dxa"/>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1134"/>
        <w:gridCol w:w="1701"/>
        <w:gridCol w:w="5660"/>
      </w:tblGrid>
      <w:tr w:rsidR="0055186B" w:rsidRPr="006B4474" w14:paraId="54FDF352" w14:textId="77777777" w:rsidTr="006E7226">
        <w:trPr>
          <w:tblHeader/>
        </w:trPr>
        <w:tc>
          <w:tcPr>
            <w:tcW w:w="2835" w:type="dxa"/>
            <w:gridSpan w:val="2"/>
            <w:tcBorders>
              <w:top w:val="single" w:sz="8" w:space="0" w:color="auto"/>
              <w:bottom w:val="single" w:sz="4" w:space="0" w:color="auto"/>
            </w:tcBorders>
          </w:tcPr>
          <w:p w14:paraId="6C883F08" w14:textId="77777777" w:rsidR="0055186B" w:rsidRPr="006B4474" w:rsidRDefault="0055186B" w:rsidP="00A63664">
            <w:pPr>
              <w:pStyle w:val="Normlbezodstazen-nasted"/>
              <w:rPr>
                <w:rStyle w:val="Tun"/>
              </w:rPr>
            </w:pPr>
            <w:r w:rsidRPr="006B4474">
              <w:rPr>
                <w:rStyle w:val="Tun"/>
              </w:rPr>
              <w:t>Linka</w:t>
            </w:r>
          </w:p>
        </w:tc>
        <w:tc>
          <w:tcPr>
            <w:tcW w:w="5660" w:type="dxa"/>
            <w:vMerge w:val="restart"/>
            <w:tcBorders>
              <w:top w:val="single" w:sz="8" w:space="0" w:color="auto"/>
              <w:bottom w:val="single" w:sz="4" w:space="0" w:color="auto"/>
            </w:tcBorders>
          </w:tcPr>
          <w:p w14:paraId="41E6F97C" w14:textId="77777777" w:rsidR="0055186B" w:rsidRPr="006B4474" w:rsidRDefault="0055186B" w:rsidP="00A63664">
            <w:pPr>
              <w:pStyle w:val="Normlbezodstazen-nasted"/>
              <w:rPr>
                <w:rStyle w:val="Tun"/>
              </w:rPr>
            </w:pPr>
            <w:r w:rsidRPr="006B4474">
              <w:rPr>
                <w:rStyle w:val="Tun"/>
              </w:rPr>
              <w:t>Úsek</w:t>
            </w:r>
          </w:p>
        </w:tc>
      </w:tr>
      <w:tr w:rsidR="0055186B" w:rsidRPr="006B4474" w14:paraId="3598FE09" w14:textId="77777777" w:rsidTr="006E7226">
        <w:tc>
          <w:tcPr>
            <w:tcW w:w="1134" w:type="dxa"/>
            <w:tcBorders>
              <w:top w:val="single" w:sz="4" w:space="0" w:color="auto"/>
              <w:bottom w:val="single" w:sz="8" w:space="0" w:color="auto"/>
            </w:tcBorders>
          </w:tcPr>
          <w:p w14:paraId="2D6C727F" w14:textId="77777777" w:rsidR="0055186B" w:rsidRPr="006B4474" w:rsidRDefault="0055186B" w:rsidP="00A63664">
            <w:pPr>
              <w:pStyle w:val="Normlbezodstazen-nasted"/>
              <w:rPr>
                <w:rStyle w:val="Tun"/>
              </w:rPr>
            </w:pPr>
            <w:r w:rsidRPr="006B4474">
              <w:rPr>
                <w:rStyle w:val="Tun"/>
              </w:rPr>
              <w:t>Číslo PID</w:t>
            </w:r>
          </w:p>
        </w:tc>
        <w:tc>
          <w:tcPr>
            <w:tcW w:w="1701" w:type="dxa"/>
            <w:tcBorders>
              <w:top w:val="single" w:sz="4" w:space="0" w:color="auto"/>
              <w:bottom w:val="single" w:sz="8" w:space="0" w:color="auto"/>
            </w:tcBorders>
          </w:tcPr>
          <w:p w14:paraId="34714695" w14:textId="77777777" w:rsidR="0055186B" w:rsidRPr="006B4474" w:rsidRDefault="0055186B" w:rsidP="00A63664">
            <w:pPr>
              <w:pStyle w:val="Normlbezodstazen-nasted"/>
              <w:rPr>
                <w:rStyle w:val="Tun"/>
              </w:rPr>
            </w:pPr>
            <w:r w:rsidRPr="006B4474">
              <w:rPr>
                <w:rStyle w:val="Tun"/>
              </w:rPr>
              <w:t>Licenční číslo</w:t>
            </w:r>
          </w:p>
        </w:tc>
        <w:tc>
          <w:tcPr>
            <w:tcW w:w="5660" w:type="dxa"/>
            <w:vMerge/>
            <w:tcBorders>
              <w:top w:val="single" w:sz="4" w:space="0" w:color="auto"/>
              <w:bottom w:val="single" w:sz="8" w:space="0" w:color="auto"/>
            </w:tcBorders>
          </w:tcPr>
          <w:p w14:paraId="78AD90CD" w14:textId="77777777" w:rsidR="0055186B" w:rsidRPr="006B4474" w:rsidRDefault="0055186B" w:rsidP="00A63664">
            <w:pPr>
              <w:pStyle w:val="Normlbezodstazen-nasted"/>
              <w:rPr>
                <w:rStyle w:val="Tun"/>
              </w:rPr>
            </w:pPr>
          </w:p>
        </w:tc>
      </w:tr>
      <w:tr w:rsidR="0055186B" w:rsidRPr="006B4474" w14:paraId="6EF6D8BD" w14:textId="77777777" w:rsidTr="006E7226">
        <w:tc>
          <w:tcPr>
            <w:tcW w:w="1134" w:type="dxa"/>
            <w:tcBorders>
              <w:top w:val="single" w:sz="8" w:space="0" w:color="auto"/>
            </w:tcBorders>
          </w:tcPr>
          <w:p w14:paraId="495678F5" w14:textId="77777777" w:rsidR="0055186B" w:rsidRPr="006B4474" w:rsidRDefault="0055186B" w:rsidP="00A63664">
            <w:pPr>
              <w:pStyle w:val="Normlbezodstazen-nasted"/>
              <w:rPr>
                <w:rStyle w:val="Tun"/>
              </w:rPr>
            </w:pPr>
            <w:r w:rsidRPr="006B4474">
              <w:rPr>
                <w:rStyle w:val="Tun"/>
              </w:rPr>
              <w:t>406</w:t>
            </w:r>
          </w:p>
        </w:tc>
        <w:tc>
          <w:tcPr>
            <w:tcW w:w="1701" w:type="dxa"/>
            <w:tcBorders>
              <w:top w:val="single" w:sz="8" w:space="0" w:color="auto"/>
            </w:tcBorders>
          </w:tcPr>
          <w:p w14:paraId="156B391B" w14:textId="77777777" w:rsidR="0055186B" w:rsidRPr="006B4474" w:rsidRDefault="0055186B" w:rsidP="00A63664">
            <w:pPr>
              <w:pStyle w:val="Normlbezodstazen-nasted"/>
            </w:pPr>
            <w:r w:rsidRPr="006B4474">
              <w:t>102 406</w:t>
            </w:r>
          </w:p>
        </w:tc>
        <w:tc>
          <w:tcPr>
            <w:tcW w:w="5660" w:type="dxa"/>
            <w:tcBorders>
              <w:top w:val="single" w:sz="8" w:space="0" w:color="auto"/>
            </w:tcBorders>
          </w:tcPr>
          <w:p w14:paraId="4D7A7C14" w14:textId="77777777" w:rsidR="0055186B" w:rsidRPr="006B4474" w:rsidRDefault="0055186B" w:rsidP="006E7226">
            <w:pPr>
              <w:pStyle w:val="Normlbezodstazen-nasted"/>
              <w:jc w:val="left"/>
            </w:pPr>
            <w:r w:rsidRPr="006B4474">
              <w:t xml:space="preserve">Praha, Roztyly </w:t>
            </w:r>
            <w:r>
              <w:t>–</w:t>
            </w:r>
            <w:r w:rsidRPr="006B4474">
              <w:t xml:space="preserve"> Křešín,</w:t>
            </w:r>
            <w:r>
              <w:t xml:space="preserve"> </w:t>
            </w:r>
            <w:r w:rsidRPr="006B4474">
              <w:t>Čeněnice,</w:t>
            </w:r>
            <w:r>
              <w:t xml:space="preserve"> </w:t>
            </w:r>
            <w:r w:rsidRPr="006B4474">
              <w:t>rozc.</w:t>
            </w:r>
            <w:r>
              <w:t xml:space="preserve"> </w:t>
            </w:r>
            <w:r w:rsidRPr="006B4474">
              <w:t>1.0</w:t>
            </w:r>
            <w:r w:rsidRPr="00B40B25">
              <w:rPr>
                <w:rStyle w:val="Hornindex"/>
              </w:rPr>
              <w:t>#</w:t>
            </w:r>
          </w:p>
        </w:tc>
      </w:tr>
      <w:tr w:rsidR="0055186B" w:rsidRPr="006B4474" w14:paraId="6F8ED0BF" w14:textId="77777777" w:rsidTr="006E7226">
        <w:tc>
          <w:tcPr>
            <w:tcW w:w="1134" w:type="dxa"/>
          </w:tcPr>
          <w:p w14:paraId="0EE5C3D3" w14:textId="77777777" w:rsidR="0055186B" w:rsidRPr="006B4474" w:rsidRDefault="0055186B" w:rsidP="00A63664">
            <w:pPr>
              <w:pStyle w:val="Normlbezodstazen-nasted"/>
              <w:rPr>
                <w:rStyle w:val="Tun"/>
              </w:rPr>
            </w:pPr>
            <w:r w:rsidRPr="006B4474">
              <w:rPr>
                <w:rStyle w:val="Tun"/>
              </w:rPr>
              <w:t>687</w:t>
            </w:r>
          </w:p>
        </w:tc>
        <w:tc>
          <w:tcPr>
            <w:tcW w:w="1701" w:type="dxa"/>
          </w:tcPr>
          <w:p w14:paraId="1F961E31" w14:textId="77777777" w:rsidR="0055186B" w:rsidRPr="006B4474" w:rsidRDefault="0055186B" w:rsidP="00A63664">
            <w:pPr>
              <w:pStyle w:val="Normlbezodstazen-nasted"/>
              <w:rPr>
                <w:rFonts w:cs="Arial"/>
              </w:rPr>
            </w:pPr>
            <w:r w:rsidRPr="006B4474">
              <w:rPr>
                <w:rFonts w:cs="Arial"/>
              </w:rPr>
              <w:t>240 687</w:t>
            </w:r>
          </w:p>
        </w:tc>
        <w:tc>
          <w:tcPr>
            <w:tcW w:w="5660" w:type="dxa"/>
          </w:tcPr>
          <w:p w14:paraId="5D10FB8A" w14:textId="77777777" w:rsidR="0055186B" w:rsidRPr="006B4474" w:rsidRDefault="0055186B" w:rsidP="006E7226">
            <w:pPr>
              <w:pStyle w:val="Normlbezodstazen-nasted"/>
              <w:jc w:val="left"/>
              <w:rPr>
                <w:rFonts w:cs="Arial"/>
                <w:szCs w:val="18"/>
              </w:rPr>
            </w:pPr>
            <w:r w:rsidRPr="006B4474">
              <w:rPr>
                <w:rFonts w:cs="Arial"/>
                <w:szCs w:val="18"/>
              </w:rPr>
              <w:t>Uhlířské Janovice,</w:t>
            </w:r>
            <w:r>
              <w:rPr>
                <w:rFonts w:cs="Arial"/>
                <w:szCs w:val="18"/>
              </w:rPr>
              <w:t xml:space="preserve"> </w:t>
            </w:r>
            <w:r w:rsidRPr="006B4474">
              <w:rPr>
                <w:rFonts w:cs="Arial"/>
                <w:szCs w:val="18"/>
              </w:rPr>
              <w:t xml:space="preserve">nám. </w:t>
            </w:r>
            <w:r>
              <w:rPr>
                <w:rFonts w:cs="Arial"/>
                <w:szCs w:val="18"/>
              </w:rPr>
              <w:t>–</w:t>
            </w:r>
            <w:r w:rsidRPr="006B4474">
              <w:rPr>
                <w:rFonts w:cs="Arial"/>
                <w:szCs w:val="18"/>
              </w:rPr>
              <w:t xml:space="preserve"> Jedlá</w:t>
            </w:r>
            <w:r w:rsidRPr="00B40B25">
              <w:rPr>
                <w:rStyle w:val="Hornindex"/>
              </w:rPr>
              <w:t>#</w:t>
            </w:r>
          </w:p>
        </w:tc>
      </w:tr>
      <w:tr w:rsidR="0055186B" w:rsidRPr="006B4474" w14:paraId="17C419B4" w14:textId="77777777" w:rsidTr="006E7226">
        <w:tc>
          <w:tcPr>
            <w:tcW w:w="1134" w:type="dxa"/>
          </w:tcPr>
          <w:p w14:paraId="54EB13A4" w14:textId="77777777" w:rsidR="0055186B" w:rsidRPr="006B4474" w:rsidRDefault="0055186B" w:rsidP="00A63664">
            <w:pPr>
              <w:pStyle w:val="Normlbezodstazen-nasted"/>
              <w:rPr>
                <w:rStyle w:val="Tun"/>
              </w:rPr>
            </w:pPr>
            <w:r w:rsidRPr="006B4474">
              <w:rPr>
                <w:rStyle w:val="Tun"/>
              </w:rPr>
              <w:t>742</w:t>
            </w:r>
          </w:p>
        </w:tc>
        <w:tc>
          <w:tcPr>
            <w:tcW w:w="1701" w:type="dxa"/>
          </w:tcPr>
          <w:p w14:paraId="595D55EA" w14:textId="77777777" w:rsidR="0055186B" w:rsidRPr="006B4474" w:rsidRDefault="0055186B" w:rsidP="00A63664">
            <w:pPr>
              <w:pStyle w:val="Normlbezodstazen-nasted"/>
              <w:rPr>
                <w:rFonts w:cs="Arial"/>
              </w:rPr>
            </w:pPr>
            <w:r w:rsidRPr="006B4474">
              <w:rPr>
                <w:rFonts w:cs="Arial"/>
              </w:rPr>
              <w:t>240 742</w:t>
            </w:r>
          </w:p>
        </w:tc>
        <w:tc>
          <w:tcPr>
            <w:tcW w:w="5660" w:type="dxa"/>
            <w:vAlign w:val="center"/>
          </w:tcPr>
          <w:p w14:paraId="6CB5DBF4" w14:textId="77777777" w:rsidR="0055186B" w:rsidRPr="006B4474" w:rsidRDefault="0055186B" w:rsidP="006E7226">
            <w:pPr>
              <w:pStyle w:val="Normlbezodstazen-nasted"/>
              <w:jc w:val="left"/>
              <w:rPr>
                <w:rFonts w:cs="Arial"/>
              </w:rPr>
            </w:pPr>
            <w:r w:rsidRPr="006B4474">
              <w:rPr>
                <w:rFonts w:cs="Arial"/>
              </w:rPr>
              <w:t>Čáslav,</w:t>
            </w:r>
            <w:r>
              <w:rPr>
                <w:rFonts w:cs="Arial"/>
              </w:rPr>
              <w:t xml:space="preserve"> </w:t>
            </w:r>
            <w:r w:rsidRPr="006B4474">
              <w:rPr>
                <w:rFonts w:cs="Arial"/>
              </w:rPr>
              <w:t>aut.</w:t>
            </w:r>
            <w:r>
              <w:rPr>
                <w:rFonts w:cs="Arial"/>
              </w:rPr>
              <w:t xml:space="preserve"> </w:t>
            </w:r>
            <w:r w:rsidRPr="006B4474">
              <w:rPr>
                <w:rFonts w:cs="Arial"/>
              </w:rPr>
              <w:t xml:space="preserve">st. </w:t>
            </w:r>
            <w:r>
              <w:rPr>
                <w:rFonts w:cs="Arial"/>
              </w:rPr>
              <w:t>–</w:t>
            </w:r>
            <w:r w:rsidRPr="006B4474">
              <w:rPr>
                <w:rFonts w:cs="Arial"/>
              </w:rPr>
              <w:t xml:space="preserve"> </w:t>
            </w:r>
            <w:r w:rsidRPr="006B4474">
              <w:rPr>
                <w:rFonts w:cs="Arial"/>
                <w:szCs w:val="18"/>
              </w:rPr>
              <w:t>Píšť,</w:t>
            </w:r>
            <w:r>
              <w:rPr>
                <w:rFonts w:cs="Arial"/>
                <w:szCs w:val="18"/>
              </w:rPr>
              <w:t xml:space="preserve"> </w:t>
            </w:r>
            <w:r w:rsidRPr="006B4474">
              <w:rPr>
                <w:rFonts w:cs="Arial"/>
                <w:szCs w:val="18"/>
              </w:rPr>
              <w:t>Rachyně</w:t>
            </w:r>
            <w:r w:rsidRPr="00B40B25">
              <w:rPr>
                <w:rStyle w:val="Hornindex"/>
              </w:rPr>
              <w:t>#</w:t>
            </w:r>
          </w:p>
        </w:tc>
      </w:tr>
      <w:tr w:rsidR="0055186B" w:rsidRPr="006B4474" w14:paraId="7B098A0F" w14:textId="77777777" w:rsidTr="006E7226">
        <w:tc>
          <w:tcPr>
            <w:tcW w:w="1134" w:type="dxa"/>
          </w:tcPr>
          <w:p w14:paraId="591ABDD2" w14:textId="77777777" w:rsidR="0055186B" w:rsidRPr="006B4474" w:rsidRDefault="0055186B" w:rsidP="00A63664">
            <w:pPr>
              <w:pStyle w:val="Normlbezodstazen-nasted"/>
              <w:rPr>
                <w:rStyle w:val="Tun"/>
              </w:rPr>
            </w:pPr>
            <w:r>
              <w:rPr>
                <w:rStyle w:val="Tun"/>
              </w:rPr>
              <w:t>846</w:t>
            </w:r>
          </w:p>
        </w:tc>
        <w:tc>
          <w:tcPr>
            <w:tcW w:w="1701" w:type="dxa"/>
          </w:tcPr>
          <w:p w14:paraId="71F0FA4D" w14:textId="77777777" w:rsidR="0055186B" w:rsidRPr="006B4474" w:rsidRDefault="0055186B" w:rsidP="00A63664">
            <w:pPr>
              <w:pStyle w:val="Normlbezodstazen-nasted"/>
            </w:pPr>
            <w:r w:rsidRPr="006B4474">
              <w:t>201 846</w:t>
            </w:r>
          </w:p>
        </w:tc>
        <w:tc>
          <w:tcPr>
            <w:tcW w:w="5660" w:type="dxa"/>
          </w:tcPr>
          <w:p w14:paraId="44BF5415" w14:textId="77777777" w:rsidR="0055186B" w:rsidRPr="006B4474" w:rsidRDefault="0055186B" w:rsidP="006E7226">
            <w:pPr>
              <w:pStyle w:val="Normlbezodstazen-nasted"/>
              <w:jc w:val="left"/>
            </w:pPr>
            <w:r w:rsidRPr="006B4474">
              <w:rPr>
                <w:rFonts w:cs="Arial"/>
                <w:szCs w:val="18"/>
              </w:rPr>
              <w:t>Čechtice,</w:t>
            </w:r>
            <w:r>
              <w:rPr>
                <w:rFonts w:cs="Arial"/>
                <w:szCs w:val="18"/>
              </w:rPr>
              <w:t xml:space="preserve"> </w:t>
            </w:r>
            <w:r w:rsidRPr="006B4474">
              <w:rPr>
                <w:rFonts w:cs="Arial"/>
                <w:szCs w:val="18"/>
              </w:rPr>
              <w:t xml:space="preserve">škola/Dolní Kralovice </w:t>
            </w:r>
            <w:r>
              <w:rPr>
                <w:rFonts w:cs="Arial"/>
                <w:szCs w:val="18"/>
              </w:rPr>
              <w:t>–</w:t>
            </w:r>
            <w:r w:rsidRPr="006B4474">
              <w:rPr>
                <w:rFonts w:cs="Arial"/>
                <w:szCs w:val="18"/>
              </w:rPr>
              <w:t xml:space="preserve"> Hněvkovice,</w:t>
            </w:r>
            <w:r>
              <w:rPr>
                <w:rFonts w:cs="Arial"/>
                <w:szCs w:val="18"/>
              </w:rPr>
              <w:t xml:space="preserve"> </w:t>
            </w:r>
            <w:r w:rsidRPr="006B4474">
              <w:rPr>
                <w:rFonts w:cs="Arial"/>
                <w:szCs w:val="18"/>
              </w:rPr>
              <w:t>Chotěměřice</w:t>
            </w:r>
            <w:r w:rsidRPr="00B40B25">
              <w:rPr>
                <w:rStyle w:val="Hornindex"/>
              </w:rPr>
              <w:t>#</w:t>
            </w:r>
          </w:p>
        </w:tc>
      </w:tr>
      <w:tr w:rsidR="0055186B" w:rsidRPr="006B4474" w14:paraId="4D18C49F" w14:textId="77777777" w:rsidTr="006E7226">
        <w:tc>
          <w:tcPr>
            <w:tcW w:w="8495" w:type="dxa"/>
            <w:gridSpan w:val="3"/>
            <w:tcBorders>
              <w:top w:val="single" w:sz="8" w:space="0" w:color="auto"/>
              <w:bottom w:val="single" w:sz="8" w:space="0" w:color="auto"/>
            </w:tcBorders>
          </w:tcPr>
          <w:p w14:paraId="380258E3" w14:textId="77777777" w:rsidR="0055186B" w:rsidRPr="006B4474" w:rsidRDefault="0055186B" w:rsidP="00A63664">
            <w:pPr>
              <w:pStyle w:val="Normlbezodstazen"/>
            </w:pPr>
            <w:r w:rsidRPr="00B40B25">
              <w:rPr>
                <w:rStyle w:val="Hornindex"/>
              </w:rPr>
              <w:t>#</w:t>
            </w:r>
            <w:r w:rsidRPr="006B4474">
              <w:t xml:space="preserve"> … dělicí zastávka</w:t>
            </w:r>
          </w:p>
        </w:tc>
      </w:tr>
    </w:tbl>
    <w:p w14:paraId="4A3BDE87" w14:textId="77777777" w:rsidR="0055186B" w:rsidRPr="006B4474" w:rsidRDefault="0055186B" w:rsidP="0055186B">
      <w:pPr>
        <w:numPr>
          <w:ilvl w:val="6"/>
          <w:numId w:val="42"/>
        </w:numPr>
        <w:tabs>
          <w:tab w:val="right" w:leader="dot" w:pos="9639"/>
        </w:tabs>
        <w:spacing w:before="60" w:after="0" w:line="240" w:lineRule="auto"/>
        <w:jc w:val="both"/>
      </w:pPr>
      <w:r w:rsidRPr="006B4474">
        <w:t>Cestující, který se v takto vyznačeném úseku neprokáže platným jízdním dokladem nebo nedoloží nárok na slevu dle tarifu nebo jinak poruší přepravní podmínky, je posuzován jako cestující PID. Přirážky za nedodržení přepravních a tarifních podmínek se řídí Tarifem PID a Smluvními přepravními podmínkami PID.</w:t>
      </w:r>
    </w:p>
    <w:p w14:paraId="75D4C7EB" w14:textId="77777777" w:rsidR="0055186B" w:rsidRPr="006B4474" w:rsidRDefault="0055186B" w:rsidP="0055186B">
      <w:pPr>
        <w:keepNext/>
        <w:numPr>
          <w:ilvl w:val="1"/>
          <w:numId w:val="42"/>
        </w:numPr>
        <w:tabs>
          <w:tab w:val="right" w:leader="dot" w:pos="9639"/>
        </w:tabs>
        <w:spacing w:before="60" w:after="0" w:line="240" w:lineRule="auto"/>
        <w:jc w:val="both"/>
      </w:pPr>
      <w:r w:rsidRPr="006B4474">
        <w:lastRenderedPageBreak/>
        <w:t xml:space="preserve">Seznam linek s vyznačenými úseky, kde je uplatňována bezplatná přeprava dle Tarifu VDV a kde jsou přirážky za porušení přepravních a tarifních podmínek cestujícím uplatňovány dle Tarifu VDV </w:t>
      </w:r>
      <w:r>
        <w:t xml:space="preserve">a </w:t>
      </w:r>
      <w:r w:rsidRPr="006B4474">
        <w:t>SPP VDV:</w:t>
      </w:r>
    </w:p>
    <w:tbl>
      <w:tblPr>
        <w:tblStyle w:val="Mkatabulky"/>
        <w:tblW w:w="8495" w:type="dxa"/>
        <w:tblInd w:w="567" w:type="dxa"/>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1134"/>
        <w:gridCol w:w="1701"/>
        <w:gridCol w:w="5660"/>
      </w:tblGrid>
      <w:tr w:rsidR="0055186B" w:rsidRPr="006B4474" w14:paraId="3379F55F" w14:textId="77777777" w:rsidTr="006E7226">
        <w:trPr>
          <w:tblHeader/>
        </w:trPr>
        <w:tc>
          <w:tcPr>
            <w:tcW w:w="2835" w:type="dxa"/>
            <w:gridSpan w:val="2"/>
            <w:tcBorders>
              <w:top w:val="single" w:sz="8" w:space="0" w:color="auto"/>
              <w:left w:val="single" w:sz="8" w:space="0" w:color="auto"/>
              <w:bottom w:val="single" w:sz="4" w:space="0" w:color="auto"/>
            </w:tcBorders>
          </w:tcPr>
          <w:p w14:paraId="7F066B44" w14:textId="77777777" w:rsidR="0055186B" w:rsidRPr="006B4474" w:rsidRDefault="0055186B" w:rsidP="00A63664">
            <w:pPr>
              <w:pStyle w:val="Normlbezodstazen-nasted"/>
              <w:rPr>
                <w:rStyle w:val="Tun"/>
              </w:rPr>
            </w:pPr>
            <w:r w:rsidRPr="006B4474">
              <w:rPr>
                <w:rStyle w:val="Tun"/>
              </w:rPr>
              <w:t>Linka</w:t>
            </w:r>
          </w:p>
        </w:tc>
        <w:tc>
          <w:tcPr>
            <w:tcW w:w="5660" w:type="dxa"/>
            <w:vMerge w:val="restart"/>
            <w:tcBorders>
              <w:top w:val="single" w:sz="8" w:space="0" w:color="auto"/>
              <w:bottom w:val="single" w:sz="4" w:space="0" w:color="auto"/>
              <w:right w:val="single" w:sz="8" w:space="0" w:color="auto"/>
            </w:tcBorders>
          </w:tcPr>
          <w:p w14:paraId="344E1B4C" w14:textId="77777777" w:rsidR="0055186B" w:rsidRPr="006B4474" w:rsidRDefault="0055186B" w:rsidP="00A63664">
            <w:pPr>
              <w:pStyle w:val="Normlbezodstazen-nasted"/>
              <w:rPr>
                <w:rStyle w:val="Tun"/>
              </w:rPr>
            </w:pPr>
            <w:r w:rsidRPr="006B4474">
              <w:rPr>
                <w:rStyle w:val="Tun"/>
              </w:rPr>
              <w:t>Úsek</w:t>
            </w:r>
          </w:p>
        </w:tc>
      </w:tr>
      <w:tr w:rsidR="0055186B" w:rsidRPr="006B4474" w14:paraId="58579FEF" w14:textId="77777777" w:rsidTr="006E7226">
        <w:tc>
          <w:tcPr>
            <w:tcW w:w="1134" w:type="dxa"/>
            <w:tcBorders>
              <w:top w:val="single" w:sz="4" w:space="0" w:color="auto"/>
              <w:left w:val="single" w:sz="8" w:space="0" w:color="auto"/>
              <w:bottom w:val="single" w:sz="8" w:space="0" w:color="auto"/>
            </w:tcBorders>
          </w:tcPr>
          <w:p w14:paraId="68C71148" w14:textId="77777777" w:rsidR="0055186B" w:rsidRPr="006B4474" w:rsidRDefault="0055186B" w:rsidP="00A63664">
            <w:pPr>
              <w:pStyle w:val="Normlbezodstazen-nasted"/>
              <w:rPr>
                <w:rStyle w:val="Tun"/>
              </w:rPr>
            </w:pPr>
            <w:r w:rsidRPr="006B4474">
              <w:rPr>
                <w:rStyle w:val="Tun"/>
              </w:rPr>
              <w:t>Číslo PID</w:t>
            </w:r>
          </w:p>
        </w:tc>
        <w:tc>
          <w:tcPr>
            <w:tcW w:w="1701" w:type="dxa"/>
            <w:tcBorders>
              <w:top w:val="single" w:sz="4" w:space="0" w:color="auto"/>
              <w:bottom w:val="single" w:sz="8" w:space="0" w:color="auto"/>
            </w:tcBorders>
          </w:tcPr>
          <w:p w14:paraId="37EED3D8" w14:textId="77777777" w:rsidR="0055186B" w:rsidRPr="006B4474" w:rsidRDefault="0055186B" w:rsidP="00A63664">
            <w:pPr>
              <w:pStyle w:val="Normlbezodstazen-nasted"/>
              <w:rPr>
                <w:rStyle w:val="Tun"/>
              </w:rPr>
            </w:pPr>
            <w:r w:rsidRPr="006B4474">
              <w:rPr>
                <w:rStyle w:val="Tun"/>
              </w:rPr>
              <w:t>Licenční číslo</w:t>
            </w:r>
          </w:p>
        </w:tc>
        <w:tc>
          <w:tcPr>
            <w:tcW w:w="5660" w:type="dxa"/>
            <w:vMerge/>
            <w:tcBorders>
              <w:top w:val="single" w:sz="4" w:space="0" w:color="auto"/>
              <w:bottom w:val="single" w:sz="8" w:space="0" w:color="auto"/>
              <w:right w:val="single" w:sz="8" w:space="0" w:color="auto"/>
            </w:tcBorders>
          </w:tcPr>
          <w:p w14:paraId="6041D364" w14:textId="77777777" w:rsidR="0055186B" w:rsidRPr="006B4474" w:rsidRDefault="0055186B" w:rsidP="00A63664">
            <w:pPr>
              <w:pStyle w:val="Normlbezodstazen-nasted"/>
              <w:rPr>
                <w:rStyle w:val="Tun"/>
              </w:rPr>
            </w:pPr>
          </w:p>
        </w:tc>
      </w:tr>
      <w:tr w:rsidR="0055186B" w:rsidRPr="006B4474" w14:paraId="39842705" w14:textId="77777777" w:rsidTr="006E7226">
        <w:tc>
          <w:tcPr>
            <w:tcW w:w="1134" w:type="dxa"/>
            <w:tcBorders>
              <w:left w:val="single" w:sz="8" w:space="0" w:color="auto"/>
            </w:tcBorders>
          </w:tcPr>
          <w:p w14:paraId="349F7049" w14:textId="77777777" w:rsidR="0055186B" w:rsidRPr="006B4474" w:rsidRDefault="0055186B" w:rsidP="00A63664">
            <w:pPr>
              <w:pStyle w:val="Normlbezodstazen-nasted"/>
              <w:rPr>
                <w:rStyle w:val="Tun"/>
              </w:rPr>
            </w:pPr>
            <w:r>
              <w:rPr>
                <w:rStyle w:val="Tun"/>
              </w:rPr>
              <w:t>406</w:t>
            </w:r>
          </w:p>
        </w:tc>
        <w:tc>
          <w:tcPr>
            <w:tcW w:w="1701" w:type="dxa"/>
          </w:tcPr>
          <w:p w14:paraId="63A37FE7" w14:textId="77777777" w:rsidR="0055186B" w:rsidRPr="006B4474" w:rsidRDefault="0055186B" w:rsidP="00A63664">
            <w:pPr>
              <w:pStyle w:val="Normlbezodstazen-nasted"/>
            </w:pPr>
            <w:r w:rsidRPr="006B4474">
              <w:t>102 406</w:t>
            </w:r>
          </w:p>
        </w:tc>
        <w:tc>
          <w:tcPr>
            <w:tcW w:w="5660" w:type="dxa"/>
            <w:tcBorders>
              <w:right w:val="single" w:sz="8" w:space="0" w:color="auto"/>
            </w:tcBorders>
          </w:tcPr>
          <w:p w14:paraId="126EA387" w14:textId="77777777" w:rsidR="0055186B" w:rsidRPr="006B4474" w:rsidRDefault="0055186B" w:rsidP="006E7226">
            <w:pPr>
              <w:pStyle w:val="Normlbezodstazen-nasted"/>
              <w:jc w:val="left"/>
            </w:pPr>
            <w:r w:rsidRPr="006B4474">
              <w:t>Křešín,</w:t>
            </w:r>
            <w:r>
              <w:t xml:space="preserve"> </w:t>
            </w:r>
            <w:r w:rsidRPr="006B4474">
              <w:t>Čeněnice,</w:t>
            </w:r>
            <w:r>
              <w:t xml:space="preserve"> </w:t>
            </w:r>
            <w:r w:rsidRPr="006B4474">
              <w:t>rozc.</w:t>
            </w:r>
            <w:r>
              <w:t xml:space="preserve"> </w:t>
            </w:r>
            <w:r w:rsidRPr="006B4474">
              <w:t>1.0</w:t>
            </w:r>
            <w:r w:rsidRPr="00B40B25">
              <w:rPr>
                <w:rStyle w:val="Hornindex"/>
              </w:rPr>
              <w:t xml:space="preserve"># </w:t>
            </w:r>
            <w:r w:rsidRPr="006B4474">
              <w:t xml:space="preserve">- </w:t>
            </w:r>
            <w:r w:rsidRPr="006B4474">
              <w:rPr>
                <w:rFonts w:cs="Arial"/>
                <w:szCs w:val="18"/>
              </w:rPr>
              <w:t>Jihlava,</w:t>
            </w:r>
            <w:r>
              <w:rPr>
                <w:rFonts w:cs="Arial"/>
                <w:szCs w:val="18"/>
              </w:rPr>
              <w:t xml:space="preserve"> </w:t>
            </w:r>
            <w:r w:rsidRPr="006B4474">
              <w:rPr>
                <w:rFonts w:cs="Arial"/>
                <w:szCs w:val="18"/>
              </w:rPr>
              <w:t>aut.</w:t>
            </w:r>
            <w:r>
              <w:rPr>
                <w:rFonts w:cs="Arial"/>
                <w:szCs w:val="18"/>
              </w:rPr>
              <w:t xml:space="preserve"> </w:t>
            </w:r>
            <w:r w:rsidRPr="006B4474">
              <w:rPr>
                <w:rFonts w:cs="Arial"/>
                <w:szCs w:val="18"/>
              </w:rPr>
              <w:t>nádr.</w:t>
            </w:r>
          </w:p>
        </w:tc>
      </w:tr>
      <w:tr w:rsidR="0055186B" w:rsidRPr="006B4474" w14:paraId="300046A9" w14:textId="77777777" w:rsidTr="006E7226">
        <w:tc>
          <w:tcPr>
            <w:tcW w:w="1134" w:type="dxa"/>
            <w:tcBorders>
              <w:left w:val="single" w:sz="8" w:space="0" w:color="auto"/>
            </w:tcBorders>
          </w:tcPr>
          <w:p w14:paraId="1DD9AE67" w14:textId="77777777" w:rsidR="0055186B" w:rsidRPr="006B4474" w:rsidRDefault="0055186B" w:rsidP="00A63664">
            <w:pPr>
              <w:pStyle w:val="Normlbezodstazen-nasted"/>
              <w:rPr>
                <w:rStyle w:val="Tun"/>
              </w:rPr>
            </w:pPr>
            <w:r w:rsidRPr="006B4474">
              <w:rPr>
                <w:rStyle w:val="Tun"/>
              </w:rPr>
              <w:t>687</w:t>
            </w:r>
          </w:p>
        </w:tc>
        <w:tc>
          <w:tcPr>
            <w:tcW w:w="1701" w:type="dxa"/>
          </w:tcPr>
          <w:p w14:paraId="4304791D" w14:textId="77777777" w:rsidR="0055186B" w:rsidRPr="006B4474" w:rsidRDefault="0055186B" w:rsidP="00A63664">
            <w:pPr>
              <w:pStyle w:val="Normlbezodstazen-nasted"/>
              <w:rPr>
                <w:rFonts w:cs="Arial"/>
              </w:rPr>
            </w:pPr>
            <w:r w:rsidRPr="006B4474">
              <w:rPr>
                <w:rFonts w:cs="Arial"/>
              </w:rPr>
              <w:t>240 687</w:t>
            </w:r>
          </w:p>
        </w:tc>
        <w:tc>
          <w:tcPr>
            <w:tcW w:w="5660" w:type="dxa"/>
            <w:tcBorders>
              <w:right w:val="single" w:sz="8" w:space="0" w:color="auto"/>
            </w:tcBorders>
          </w:tcPr>
          <w:p w14:paraId="1DA72341" w14:textId="77777777" w:rsidR="0055186B" w:rsidRPr="006B4474" w:rsidRDefault="0055186B" w:rsidP="006E7226">
            <w:pPr>
              <w:pStyle w:val="Normlbezodstazen-nasted"/>
              <w:jc w:val="left"/>
              <w:rPr>
                <w:rFonts w:ascii="Arial Narrow" w:eastAsia="Arial Unicode MS" w:hAnsi="Arial Narrow" w:cs="Arial"/>
              </w:rPr>
            </w:pPr>
            <w:r w:rsidRPr="006B4474">
              <w:t>Jedlá</w:t>
            </w:r>
            <w:r w:rsidRPr="00B40B25">
              <w:rPr>
                <w:rStyle w:val="Hornindex"/>
              </w:rPr>
              <w:t xml:space="preserve"># </w:t>
            </w:r>
            <w:r w:rsidRPr="006B4474">
              <w:t>- Ledeč n.</w:t>
            </w:r>
            <w:r>
              <w:t xml:space="preserve"> </w:t>
            </w:r>
            <w:r w:rsidRPr="006B4474">
              <w:t>Sáz., sídl.</w:t>
            </w:r>
            <w:r>
              <w:t xml:space="preserve"> </w:t>
            </w:r>
            <w:r w:rsidRPr="006B4474">
              <w:t>Plácky</w:t>
            </w:r>
          </w:p>
        </w:tc>
      </w:tr>
      <w:tr w:rsidR="0055186B" w:rsidRPr="006B4474" w14:paraId="274D8907" w14:textId="77777777" w:rsidTr="006E7226">
        <w:tc>
          <w:tcPr>
            <w:tcW w:w="1134" w:type="dxa"/>
            <w:tcBorders>
              <w:left w:val="single" w:sz="8" w:space="0" w:color="auto"/>
            </w:tcBorders>
          </w:tcPr>
          <w:p w14:paraId="15A39744" w14:textId="77777777" w:rsidR="0055186B" w:rsidRPr="006B4474" w:rsidRDefault="0055186B" w:rsidP="00A63664">
            <w:pPr>
              <w:pStyle w:val="Normlbezodstazen-nasted"/>
              <w:rPr>
                <w:rStyle w:val="Tun"/>
              </w:rPr>
            </w:pPr>
            <w:r w:rsidRPr="006B4474">
              <w:rPr>
                <w:rStyle w:val="Tun"/>
              </w:rPr>
              <w:t>742</w:t>
            </w:r>
          </w:p>
        </w:tc>
        <w:tc>
          <w:tcPr>
            <w:tcW w:w="1701" w:type="dxa"/>
          </w:tcPr>
          <w:p w14:paraId="3FEEC553" w14:textId="77777777" w:rsidR="0055186B" w:rsidRPr="006B4474" w:rsidRDefault="0055186B" w:rsidP="00A63664">
            <w:pPr>
              <w:pStyle w:val="Normlbezodstazen-nasted"/>
              <w:rPr>
                <w:rFonts w:cs="Arial"/>
              </w:rPr>
            </w:pPr>
            <w:r w:rsidRPr="006B4474">
              <w:rPr>
                <w:rFonts w:cs="Arial"/>
              </w:rPr>
              <w:t>240 742</w:t>
            </w:r>
          </w:p>
        </w:tc>
        <w:tc>
          <w:tcPr>
            <w:tcW w:w="5660" w:type="dxa"/>
            <w:tcBorders>
              <w:right w:val="single" w:sz="8" w:space="0" w:color="auto"/>
            </w:tcBorders>
          </w:tcPr>
          <w:p w14:paraId="4614CEC7" w14:textId="77777777" w:rsidR="0055186B" w:rsidRPr="006B4474" w:rsidRDefault="0055186B" w:rsidP="006E7226">
            <w:pPr>
              <w:pStyle w:val="Normlbezodstazen-nasted"/>
              <w:jc w:val="left"/>
              <w:rPr>
                <w:rFonts w:cs="Arial"/>
              </w:rPr>
            </w:pPr>
            <w:r w:rsidRPr="006B4474">
              <w:rPr>
                <w:rFonts w:cs="Arial"/>
              </w:rPr>
              <w:t>Kozlov,</w:t>
            </w:r>
            <w:r>
              <w:rPr>
                <w:rFonts w:cs="Arial"/>
              </w:rPr>
              <w:t xml:space="preserve"> </w:t>
            </w:r>
            <w:r w:rsidRPr="006B4474">
              <w:rPr>
                <w:rFonts w:cs="Arial"/>
              </w:rPr>
              <w:t>Vrbka</w:t>
            </w:r>
            <w:r w:rsidRPr="00B40B25">
              <w:rPr>
                <w:rStyle w:val="Hornindex"/>
              </w:rPr>
              <w:t>#</w:t>
            </w:r>
            <w:r w:rsidRPr="006B4474">
              <w:rPr>
                <w:rFonts w:cs="Arial"/>
                <w:szCs w:val="18"/>
              </w:rPr>
              <w:t xml:space="preserve"> </w:t>
            </w:r>
            <w:r>
              <w:rPr>
                <w:rFonts w:cs="Arial"/>
                <w:szCs w:val="18"/>
              </w:rPr>
              <w:t>–</w:t>
            </w:r>
            <w:r w:rsidRPr="00B40B25">
              <w:rPr>
                <w:rStyle w:val="Hornindex"/>
              </w:rPr>
              <w:t xml:space="preserve"> </w:t>
            </w:r>
            <w:r w:rsidRPr="006B4474">
              <w:rPr>
                <w:rFonts w:cs="Arial"/>
              </w:rPr>
              <w:t>Ledeč n.</w:t>
            </w:r>
            <w:r>
              <w:rPr>
                <w:rFonts w:cs="Arial"/>
              </w:rPr>
              <w:t xml:space="preserve"> </w:t>
            </w:r>
            <w:r w:rsidRPr="006B4474">
              <w:rPr>
                <w:rFonts w:cs="Arial"/>
              </w:rPr>
              <w:t>Sáz.,</w:t>
            </w:r>
            <w:r>
              <w:rPr>
                <w:rFonts w:cs="Arial"/>
              </w:rPr>
              <w:t xml:space="preserve"> </w:t>
            </w:r>
            <w:r w:rsidRPr="006B4474">
              <w:rPr>
                <w:rFonts w:cs="Arial"/>
              </w:rPr>
              <w:t>Podolí</w:t>
            </w:r>
          </w:p>
        </w:tc>
      </w:tr>
      <w:tr w:rsidR="0055186B" w:rsidRPr="006B4474" w14:paraId="4D04A067" w14:textId="77777777" w:rsidTr="006E7226">
        <w:tc>
          <w:tcPr>
            <w:tcW w:w="1134" w:type="dxa"/>
            <w:tcBorders>
              <w:left w:val="single" w:sz="8" w:space="0" w:color="auto"/>
            </w:tcBorders>
          </w:tcPr>
          <w:p w14:paraId="648E9820" w14:textId="77777777" w:rsidR="0055186B" w:rsidRPr="006B4474" w:rsidRDefault="0055186B" w:rsidP="00A63664">
            <w:pPr>
              <w:pStyle w:val="Normlbezodstazen-nasted"/>
              <w:rPr>
                <w:rStyle w:val="Tun"/>
              </w:rPr>
            </w:pPr>
            <w:r>
              <w:rPr>
                <w:rStyle w:val="Tun"/>
              </w:rPr>
              <w:t>846</w:t>
            </w:r>
          </w:p>
        </w:tc>
        <w:tc>
          <w:tcPr>
            <w:tcW w:w="1701" w:type="dxa"/>
          </w:tcPr>
          <w:p w14:paraId="4D6EE182" w14:textId="77777777" w:rsidR="0055186B" w:rsidRPr="006B4474" w:rsidRDefault="0055186B" w:rsidP="00A63664">
            <w:pPr>
              <w:pStyle w:val="Normlbezodstazen-nasted"/>
            </w:pPr>
            <w:r w:rsidRPr="006B4474">
              <w:t>201 846</w:t>
            </w:r>
          </w:p>
        </w:tc>
        <w:tc>
          <w:tcPr>
            <w:tcW w:w="5660" w:type="dxa"/>
            <w:tcBorders>
              <w:right w:val="single" w:sz="8" w:space="0" w:color="auto"/>
            </w:tcBorders>
          </w:tcPr>
          <w:p w14:paraId="31CE28EB" w14:textId="77777777" w:rsidR="0055186B" w:rsidRPr="006B4474" w:rsidRDefault="0055186B" w:rsidP="006E7226">
            <w:pPr>
              <w:pStyle w:val="Normlbezodstazen-nasted"/>
              <w:jc w:val="left"/>
            </w:pPr>
            <w:r w:rsidRPr="006B4474">
              <w:rPr>
                <w:rFonts w:cs="Arial"/>
                <w:szCs w:val="18"/>
              </w:rPr>
              <w:t>Hněvkovice,</w:t>
            </w:r>
            <w:r>
              <w:rPr>
                <w:rFonts w:cs="Arial"/>
                <w:szCs w:val="18"/>
              </w:rPr>
              <w:t xml:space="preserve"> </w:t>
            </w:r>
            <w:r w:rsidRPr="006B4474">
              <w:rPr>
                <w:rFonts w:cs="Arial"/>
                <w:szCs w:val="18"/>
              </w:rPr>
              <w:t>Chotěměřice</w:t>
            </w:r>
            <w:r w:rsidRPr="00B40B25">
              <w:rPr>
                <w:rStyle w:val="Hornindex"/>
              </w:rPr>
              <w:t>#</w:t>
            </w:r>
            <w:r w:rsidRPr="006B4474">
              <w:rPr>
                <w:rFonts w:cs="Arial"/>
                <w:szCs w:val="18"/>
              </w:rPr>
              <w:t xml:space="preserve"> </w:t>
            </w:r>
            <w:r>
              <w:rPr>
                <w:rFonts w:cs="Arial"/>
                <w:szCs w:val="18"/>
              </w:rPr>
              <w:t>–</w:t>
            </w:r>
            <w:r w:rsidRPr="00B40B25">
              <w:rPr>
                <w:rStyle w:val="Hornindex"/>
              </w:rPr>
              <w:t xml:space="preserve"> </w:t>
            </w:r>
            <w:r w:rsidRPr="006B4474">
              <w:rPr>
                <w:rFonts w:cs="Arial"/>
                <w:szCs w:val="18"/>
              </w:rPr>
              <w:t>Ledeč n.</w:t>
            </w:r>
            <w:r>
              <w:rPr>
                <w:rFonts w:cs="Arial"/>
                <w:szCs w:val="18"/>
              </w:rPr>
              <w:t xml:space="preserve"> </w:t>
            </w:r>
            <w:r w:rsidRPr="006B4474">
              <w:rPr>
                <w:rFonts w:cs="Arial"/>
                <w:szCs w:val="18"/>
              </w:rPr>
              <w:t>Sáz.,</w:t>
            </w:r>
            <w:r>
              <w:rPr>
                <w:rFonts w:cs="Arial"/>
                <w:szCs w:val="18"/>
              </w:rPr>
              <w:t xml:space="preserve"> </w:t>
            </w:r>
            <w:r w:rsidRPr="006B4474">
              <w:rPr>
                <w:rFonts w:cs="Arial"/>
                <w:szCs w:val="18"/>
              </w:rPr>
              <w:t>sídl.</w:t>
            </w:r>
            <w:r>
              <w:rPr>
                <w:rFonts w:cs="Arial"/>
                <w:szCs w:val="18"/>
              </w:rPr>
              <w:t xml:space="preserve"> </w:t>
            </w:r>
            <w:r w:rsidRPr="006B4474">
              <w:rPr>
                <w:rFonts w:cs="Arial"/>
                <w:szCs w:val="18"/>
              </w:rPr>
              <w:t>Plácky</w:t>
            </w:r>
          </w:p>
        </w:tc>
      </w:tr>
      <w:tr w:rsidR="0055186B" w:rsidRPr="006B4474" w14:paraId="6B3F6BC6" w14:textId="77777777" w:rsidTr="006E7226">
        <w:tc>
          <w:tcPr>
            <w:tcW w:w="8495" w:type="dxa"/>
            <w:gridSpan w:val="3"/>
            <w:tcBorders>
              <w:top w:val="single" w:sz="8" w:space="0" w:color="auto"/>
              <w:left w:val="single" w:sz="8" w:space="0" w:color="auto"/>
              <w:bottom w:val="single" w:sz="8" w:space="0" w:color="auto"/>
              <w:right w:val="single" w:sz="8" w:space="0" w:color="auto"/>
            </w:tcBorders>
          </w:tcPr>
          <w:p w14:paraId="458A71E0" w14:textId="77777777" w:rsidR="0055186B" w:rsidRPr="006B4474" w:rsidRDefault="0055186B" w:rsidP="00A63664">
            <w:pPr>
              <w:pStyle w:val="Normlbezodstazen"/>
            </w:pPr>
            <w:r w:rsidRPr="00B40B25">
              <w:rPr>
                <w:rStyle w:val="Hornindex"/>
              </w:rPr>
              <w:t>#</w:t>
            </w:r>
            <w:r w:rsidRPr="006B4474">
              <w:t xml:space="preserve"> … dělicí zastávka</w:t>
            </w:r>
          </w:p>
        </w:tc>
      </w:tr>
    </w:tbl>
    <w:p w14:paraId="7B167D1E" w14:textId="77777777" w:rsidR="0055186B" w:rsidRPr="006B4474" w:rsidRDefault="0055186B" w:rsidP="0055186B">
      <w:pPr>
        <w:numPr>
          <w:ilvl w:val="6"/>
          <w:numId w:val="42"/>
        </w:numPr>
        <w:tabs>
          <w:tab w:val="right" w:leader="dot" w:pos="9639"/>
        </w:tabs>
        <w:spacing w:before="60" w:after="0" w:line="240" w:lineRule="auto"/>
        <w:jc w:val="both"/>
      </w:pPr>
      <w:r w:rsidRPr="006B4474">
        <w:t>Cestující, který se v takto vyznačeném úseku neprokáže platným jízdním dokladem nebo nedoloží nárok na slevu dle tarifu nebo jinak poruší přepravní podmínky, je posuzován jako cestující VDV. Přirážky za nedodržení přepravních a tarifních podmínek se řídí Tarifem VDV a Smluvními přepravními podmínkami VDV.</w:t>
      </w:r>
    </w:p>
    <w:p w14:paraId="28CAE136" w14:textId="3AE8AAE3" w:rsidR="0055186B" w:rsidRPr="00A27B9B" w:rsidRDefault="0055186B" w:rsidP="0055186B">
      <w:pPr>
        <w:numPr>
          <w:ilvl w:val="1"/>
          <w:numId w:val="42"/>
        </w:numPr>
        <w:tabs>
          <w:tab w:val="right" w:leader="dot" w:pos="9639"/>
        </w:tabs>
        <w:spacing w:before="60" w:after="0" w:line="240" w:lineRule="auto"/>
        <w:jc w:val="both"/>
      </w:pPr>
      <w:r w:rsidRPr="00A27B9B">
        <w:rPr>
          <w:rStyle w:val="Tun"/>
        </w:rPr>
        <w:t xml:space="preserve">Přirážky k jízdnému a přirážky za porušení přepravních podmínek </w:t>
      </w:r>
      <w:r w:rsidR="00804CF1" w:rsidRPr="00A27B9B">
        <w:rPr>
          <w:rStyle w:val="Tun"/>
        </w:rPr>
        <w:t>PID</w:t>
      </w:r>
      <w:r w:rsidRPr="00A27B9B">
        <w:rPr>
          <w:rStyle w:val="Tun"/>
        </w:rPr>
        <w:t>:</w:t>
      </w:r>
    </w:p>
    <w:p w14:paraId="0A2E8B18" w14:textId="7F6FC5AF" w:rsidR="0055186B" w:rsidRPr="00A27B9B" w:rsidRDefault="00A27B9B" w:rsidP="0055186B">
      <w:pPr>
        <w:numPr>
          <w:ilvl w:val="2"/>
          <w:numId w:val="42"/>
        </w:numPr>
        <w:tabs>
          <w:tab w:val="right" w:leader="dot" w:pos="9639"/>
        </w:tabs>
        <w:spacing w:before="60" w:after="0" w:line="240" w:lineRule="auto"/>
        <w:jc w:val="both"/>
      </w:pPr>
      <w:r w:rsidRPr="00A27B9B">
        <w:t xml:space="preserve">Cestující, který se neprokáže platným jízdním dokladem, zaplatí jízdné a přirážku 1500 Kč; při zaplacení na místě nebo v doplatkové pokladně DPP, popřípadě v doplatkové pokladně subjektu, který na základě pověření provedl přepravní kontrolu (dále jen „doplatková pokladna“) příp. bezhotovostním způsobem úhrady dle pokynů na zápise o provedené přepravní kontrole, nejdříve následující pracovní den od 12:30, nejpozději 15. kalendářní den ode dne uložení přirážky se přirážka snižuje na 1000 Kč. Při splnění podmínek uvedených v odst. 13. článku </w:t>
      </w:r>
      <w:r w:rsidRPr="00A27B9B">
        <w:t xml:space="preserve">XXIII. Tarifu PID </w:t>
      </w:r>
      <w:r w:rsidRPr="00A27B9B">
        <w:t>se přirážka snižuje na 800 Kč.</w:t>
      </w:r>
    </w:p>
    <w:p w14:paraId="369ACD38" w14:textId="3D92D773" w:rsidR="0055186B" w:rsidRPr="00A27B9B" w:rsidRDefault="00A27B9B" w:rsidP="0055186B">
      <w:pPr>
        <w:numPr>
          <w:ilvl w:val="2"/>
          <w:numId w:val="42"/>
        </w:numPr>
        <w:tabs>
          <w:tab w:val="right" w:leader="dot" w:pos="9639"/>
        </w:tabs>
        <w:spacing w:before="60" w:after="0" w:line="240" w:lineRule="auto"/>
        <w:jc w:val="both"/>
      </w:pPr>
      <w:r w:rsidRPr="00A27B9B">
        <w:t>Další pokuty a přirážky jsou uvedeny v Tarifu PID v článku XXIII. Přepravní kontrola na webových stránkách www.pid.cz.</w:t>
      </w:r>
    </w:p>
    <w:p w14:paraId="6BBFAB57" w14:textId="77777777" w:rsidR="0055186B" w:rsidRPr="000E4E9D" w:rsidRDefault="0055186B" w:rsidP="0055186B">
      <w:pPr>
        <w:numPr>
          <w:ilvl w:val="1"/>
          <w:numId w:val="42"/>
        </w:numPr>
        <w:tabs>
          <w:tab w:val="right" w:leader="dot" w:pos="9639"/>
        </w:tabs>
        <w:spacing w:before="60" w:after="0" w:line="240" w:lineRule="auto"/>
        <w:jc w:val="both"/>
      </w:pPr>
      <w:r w:rsidRPr="000E4E9D">
        <w:rPr>
          <w:rStyle w:val="Tun"/>
        </w:rPr>
        <w:t>Přechodn</w:t>
      </w:r>
      <w:r>
        <w:rPr>
          <w:rStyle w:val="Tun"/>
        </w:rPr>
        <w:t>á</w:t>
      </w:r>
      <w:r w:rsidRPr="000E4E9D">
        <w:rPr>
          <w:rStyle w:val="Tun"/>
        </w:rPr>
        <w:t xml:space="preserve"> opatření</w:t>
      </w:r>
      <w:r w:rsidRPr="000E4E9D">
        <w:t>, která platí do odvolání:</w:t>
      </w:r>
    </w:p>
    <w:p w14:paraId="331D2C2E" w14:textId="77777777" w:rsidR="0055186B" w:rsidRDefault="0055186B" w:rsidP="0055186B">
      <w:pPr>
        <w:numPr>
          <w:ilvl w:val="2"/>
          <w:numId w:val="42"/>
        </w:numPr>
        <w:tabs>
          <w:tab w:val="right" w:leader="dot" w:pos="9639"/>
        </w:tabs>
        <w:spacing w:before="60" w:after="0" w:line="240" w:lineRule="auto"/>
        <w:jc w:val="both"/>
      </w:pPr>
      <w:r>
        <w:t xml:space="preserve">na linkách </w:t>
      </w:r>
      <w:r w:rsidRPr="007473DD">
        <w:rPr>
          <w:b/>
        </w:rPr>
        <w:t>PID 200 845, 200 846, 200 847</w:t>
      </w:r>
      <w:r>
        <w:t xml:space="preserve"> platí v celé trase </w:t>
      </w:r>
      <w:r w:rsidRPr="007473DD">
        <w:rPr>
          <w:b/>
        </w:rPr>
        <w:t>Tarif PID a Smluvní přepravní podmínky PID</w:t>
      </w:r>
      <w:r>
        <w:t>;</w:t>
      </w:r>
    </w:p>
    <w:p w14:paraId="0134B90E" w14:textId="77777777" w:rsidR="0055186B" w:rsidRPr="007473DD" w:rsidRDefault="0055186B" w:rsidP="0055186B">
      <w:pPr>
        <w:numPr>
          <w:ilvl w:val="2"/>
          <w:numId w:val="42"/>
        </w:numPr>
        <w:tabs>
          <w:tab w:val="right" w:leader="dot" w:pos="9639"/>
        </w:tabs>
        <w:spacing w:before="60" w:after="0" w:line="240" w:lineRule="auto"/>
        <w:jc w:val="both"/>
        <w:rPr>
          <w:b/>
        </w:rPr>
      </w:pPr>
      <w:r>
        <w:t xml:space="preserve">na lince </w:t>
      </w:r>
      <w:r w:rsidRPr="007473DD">
        <w:rPr>
          <w:b/>
        </w:rPr>
        <w:t>VDV 200 850</w:t>
      </w:r>
      <w:r>
        <w:t xml:space="preserve"> platí v celé trase </w:t>
      </w:r>
      <w:r w:rsidRPr="007473DD">
        <w:rPr>
          <w:b/>
        </w:rPr>
        <w:t>Tarif VDV a Smluvní přepravní podmínky VDV;</w:t>
      </w:r>
    </w:p>
    <w:p w14:paraId="5EAC077B" w14:textId="431FF155" w:rsidR="0055186B" w:rsidRPr="007473DD" w:rsidRDefault="0055186B" w:rsidP="0055186B">
      <w:pPr>
        <w:numPr>
          <w:ilvl w:val="2"/>
          <w:numId w:val="42"/>
        </w:numPr>
        <w:tabs>
          <w:tab w:val="right" w:leader="dot" w:pos="9639"/>
        </w:tabs>
        <w:spacing w:before="60" w:after="0" w:line="240" w:lineRule="auto"/>
        <w:jc w:val="both"/>
        <w:rPr>
          <w:b/>
        </w:rPr>
      </w:pPr>
      <w:r>
        <w:t xml:space="preserve">na linkách </w:t>
      </w:r>
      <w:r w:rsidRPr="007473DD">
        <w:rPr>
          <w:b/>
        </w:rPr>
        <w:t>PID 100 406, 104 406, 105 406</w:t>
      </w:r>
      <w:r>
        <w:t xml:space="preserve"> platí v úseku </w:t>
      </w:r>
      <w:r w:rsidRPr="007473DD">
        <w:rPr>
          <w:b/>
        </w:rPr>
        <w:t>Praha, Roztyly – Pelhřimov, aut. nádr. Tarif PID a Smluvní přepravní podmínky PID</w:t>
      </w:r>
      <w:r>
        <w:t xml:space="preserve"> a v úseku </w:t>
      </w:r>
      <w:r w:rsidRPr="007473DD">
        <w:rPr>
          <w:b/>
        </w:rPr>
        <w:t>Pelhřimov, aut. nádr. – Jihlava, aut. nádr. platí Tarif VDV a Smluvní přepravní podmínky VDV.</w:t>
      </w:r>
    </w:p>
    <w:p w14:paraId="5DB69673" w14:textId="6C4BCF01" w:rsidR="00EB2EDE" w:rsidRPr="00EB2EDE" w:rsidRDefault="00EB2EDE" w:rsidP="00EB2EDE">
      <w:pPr>
        <w:numPr>
          <w:ilvl w:val="1"/>
          <w:numId w:val="42"/>
        </w:numPr>
        <w:tabs>
          <w:tab w:val="right" w:leader="dot" w:pos="9639"/>
        </w:tabs>
        <w:spacing w:before="60" w:after="0" w:line="240" w:lineRule="auto"/>
        <w:jc w:val="both"/>
        <w:rPr>
          <w:rStyle w:val="Tun"/>
        </w:rPr>
      </w:pPr>
      <w:r w:rsidRPr="00EB2EDE">
        <w:rPr>
          <w:rStyle w:val="Tun"/>
        </w:rPr>
        <w:t>Zvláštní ustavení pro přepravu spoluzavazadel mezi systémy VDV a PID.</w:t>
      </w:r>
    </w:p>
    <w:p w14:paraId="4176AC5C" w14:textId="0984A0F5" w:rsidR="00EB2EDE" w:rsidRDefault="00EB2EDE" w:rsidP="00EB2EDE">
      <w:pPr>
        <w:numPr>
          <w:ilvl w:val="2"/>
          <w:numId w:val="42"/>
        </w:numPr>
        <w:tabs>
          <w:tab w:val="right" w:leader="dot" w:pos="9639"/>
        </w:tabs>
        <w:spacing w:before="60" w:after="0" w:line="240" w:lineRule="auto"/>
        <w:jc w:val="both"/>
      </w:pPr>
      <w:r>
        <w:t>Toto ustanovení se nepoužije pro přepravu jízdních kol a koloběžek, jejichž přeprava je na území Kraje Vysočina zakázána.</w:t>
      </w:r>
    </w:p>
    <w:p w14:paraId="2478CCE0" w14:textId="0D1241A5" w:rsidR="00EB2EDE" w:rsidRDefault="00EB2EDE" w:rsidP="00EB2EDE">
      <w:pPr>
        <w:numPr>
          <w:ilvl w:val="2"/>
          <w:numId w:val="42"/>
        </w:numPr>
        <w:tabs>
          <w:tab w:val="right" w:leader="dot" w:pos="9639"/>
        </w:tabs>
        <w:spacing w:before="60" w:after="0" w:line="240" w:lineRule="auto"/>
        <w:jc w:val="both"/>
      </w:pPr>
      <w:r>
        <w:t xml:space="preserve"> Cena za přepravu spoluzavazadla nebo psa podléhajícího placení dle Tarifu VDV pro cestujícího, který přijíždí z navazující zóny VDV mezikrajskou linkou a který uhradil cenu za přepravu spoluzavazadla nebo psa dle Tarifu VDV a pokračuje do pásem PID (tj. případ, kdy se cestující odbaví pro další cestu dle Tarifu PID), činí cena za úhradu přepravy spoluzavazadla nebo psa v úseku mezikrajské linky tarifně zařazeného do PID 0 Kč. </w:t>
      </w:r>
    </w:p>
    <w:p w14:paraId="62621773" w14:textId="1F9BEC4D" w:rsidR="00EB2EDE" w:rsidRDefault="00EB2EDE" w:rsidP="00EB2EDE">
      <w:pPr>
        <w:numPr>
          <w:ilvl w:val="2"/>
          <w:numId w:val="42"/>
        </w:numPr>
        <w:tabs>
          <w:tab w:val="right" w:leader="dot" w:pos="9639"/>
        </w:tabs>
        <w:spacing w:before="60" w:after="0" w:line="240" w:lineRule="auto"/>
        <w:jc w:val="both"/>
      </w:pPr>
      <w:r>
        <w:t>Cestujícímu je vydán evidenční doklad s cenou 0 Kč.</w:t>
      </w:r>
    </w:p>
    <w:p w14:paraId="3B7A1721" w14:textId="52B48854" w:rsidR="00EB2EDE" w:rsidRPr="006B4474" w:rsidRDefault="00EB2EDE" w:rsidP="00EB2EDE">
      <w:pPr>
        <w:numPr>
          <w:ilvl w:val="2"/>
          <w:numId w:val="42"/>
        </w:numPr>
        <w:tabs>
          <w:tab w:val="right" w:leader="dot" w:pos="9639"/>
        </w:tabs>
        <w:spacing w:before="60" w:after="0" w:line="240" w:lineRule="auto"/>
        <w:jc w:val="both"/>
      </w:pPr>
      <w:r>
        <w:t>Evidenční doklad je nepřestupní a platí pouze na spoji mezikrajské linky, pro který byla uhrazena cena za přepravu spoluzavazadla nebo psa a pro nějž byl evidenční doklad vydán. Nedílnou součástí tohoto dokladu je jízdní doklad o uhrazení ceny za přepravu spoluzavazadla nebo psa vydaný dle Tarifu VDV; bez tohoto dokladu o uhrazení ceny za přepravu spoluzavazadla nebo psa je evidenční doklad neplatný. Cestující, který se neprokáže platným dokladem o uhrazení ceny za přepravu spoluzavazadla nebo psa vydaného dle Tarifu VDV a zároveň evidenčním dokladem nebo evidenční doklad použije na jiném spoji, než pro který byl vydán, je považován za cestujícího bez platného dokladu o zaplacení ceny stanovené za přepravu spoluzavazadla nebo psa dle čl. XXIII. Tarifu PID.</w:t>
      </w:r>
    </w:p>
    <w:p w14:paraId="306959B2" w14:textId="77A897CE" w:rsidR="00E74FC7" w:rsidRDefault="00E74FC7" w:rsidP="00E74FC7">
      <w:pPr>
        <w:pStyle w:val="Default"/>
        <w:spacing w:before="240"/>
        <w:jc w:val="both"/>
        <w:rPr>
          <w:b/>
          <w:color w:val="auto"/>
          <w:sz w:val="22"/>
          <w:szCs w:val="22"/>
        </w:rPr>
      </w:pPr>
      <w:r>
        <w:rPr>
          <w:b/>
          <w:color w:val="auto"/>
          <w:sz w:val="22"/>
          <w:szCs w:val="22"/>
        </w:rPr>
        <w:lastRenderedPageBreak/>
        <w:t>C</w:t>
      </w:r>
      <w:r w:rsidRPr="00ED2168">
        <w:rPr>
          <w:b/>
          <w:color w:val="auto"/>
          <w:sz w:val="22"/>
          <w:szCs w:val="22"/>
        </w:rPr>
        <w:t>. Linky dopravců plně integrované do VDV</w:t>
      </w:r>
      <w:r>
        <w:rPr>
          <w:b/>
          <w:color w:val="auto"/>
          <w:sz w:val="22"/>
          <w:szCs w:val="22"/>
        </w:rPr>
        <w:t xml:space="preserve"> a přesahující do jiných krajů</w:t>
      </w:r>
    </w:p>
    <w:p w14:paraId="54A2CCE4" w14:textId="4A8579BE" w:rsidR="00E74FC7" w:rsidRDefault="00E74FC7" w:rsidP="00E74FC7">
      <w:pPr>
        <w:pStyle w:val="Default"/>
        <w:spacing w:before="240"/>
        <w:jc w:val="both"/>
        <w:rPr>
          <w:color w:val="auto"/>
          <w:sz w:val="22"/>
          <w:szCs w:val="22"/>
        </w:rPr>
      </w:pPr>
      <w:r>
        <w:rPr>
          <w:color w:val="auto"/>
          <w:sz w:val="22"/>
          <w:szCs w:val="22"/>
        </w:rPr>
        <w:t xml:space="preserve">Na linkách a vyjmenovaných spojích se vydávají jízdní doklady VDV, které jsou platné až do cílové zastávky na daném spoji i na území jiného kraje. Jízdní doklady VDV nelze použít pro přestup na </w:t>
      </w:r>
      <w:r w:rsidR="006820E0">
        <w:rPr>
          <w:color w:val="auto"/>
          <w:sz w:val="22"/>
          <w:szCs w:val="22"/>
        </w:rPr>
        <w:t>linky jiné</w:t>
      </w:r>
      <w:r>
        <w:rPr>
          <w:color w:val="auto"/>
          <w:sz w:val="22"/>
          <w:szCs w:val="22"/>
        </w:rPr>
        <w:t xml:space="preserve"> IDS.</w:t>
      </w:r>
    </w:p>
    <w:p w14:paraId="7D9C4D8E" w14:textId="77777777" w:rsidR="00906D54" w:rsidRDefault="00906D54" w:rsidP="00E74FC7">
      <w:pPr>
        <w:pStyle w:val="Default"/>
        <w:spacing w:before="240"/>
        <w:jc w:val="both"/>
        <w:rPr>
          <w:color w:val="auto"/>
          <w:sz w:val="22"/>
          <w:szCs w:val="22"/>
        </w:rPr>
      </w:pPr>
    </w:p>
    <w:p w14:paraId="6D7C7C1B" w14:textId="1CA1C5CD" w:rsidR="0054522F" w:rsidRDefault="00E04E77" w:rsidP="008A5BB2">
      <w:pPr>
        <w:pStyle w:val="Default"/>
        <w:spacing w:before="240"/>
        <w:jc w:val="both"/>
        <w:rPr>
          <w:b/>
          <w:color w:val="auto"/>
          <w:sz w:val="22"/>
          <w:szCs w:val="22"/>
        </w:rPr>
      </w:pPr>
      <w:r w:rsidRPr="00E04E77">
        <w:rPr>
          <w:noProof/>
          <w:lang w:eastAsia="cs-CZ"/>
        </w:rPr>
        <w:drawing>
          <wp:inline distT="0" distB="0" distL="0" distR="0" wp14:anchorId="3A592946" wp14:editId="51D05E75">
            <wp:extent cx="5718175" cy="99758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8175" cy="997585"/>
                    </a:xfrm>
                    <a:prstGeom prst="rect">
                      <a:avLst/>
                    </a:prstGeom>
                    <a:noFill/>
                    <a:ln>
                      <a:noFill/>
                    </a:ln>
                  </pic:spPr>
                </pic:pic>
              </a:graphicData>
            </a:graphic>
          </wp:inline>
        </w:drawing>
      </w:r>
    </w:p>
    <w:p w14:paraId="33BFA13C" w14:textId="77777777" w:rsidR="0068451E" w:rsidRDefault="0068451E" w:rsidP="0068451E">
      <w:pPr>
        <w:pStyle w:val="Default"/>
        <w:spacing w:before="240"/>
        <w:jc w:val="both"/>
        <w:rPr>
          <w:color w:val="auto"/>
          <w:sz w:val="22"/>
          <w:szCs w:val="22"/>
        </w:rPr>
      </w:pPr>
      <w:r w:rsidRPr="00F334AE">
        <w:rPr>
          <w:noProof/>
          <w:lang w:eastAsia="cs-CZ"/>
        </w:rPr>
        <w:drawing>
          <wp:inline distT="0" distB="0" distL="0" distR="0" wp14:anchorId="681A7C5D" wp14:editId="5B21DB64">
            <wp:extent cx="5715000" cy="2305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2305050"/>
                    </a:xfrm>
                    <a:prstGeom prst="rect">
                      <a:avLst/>
                    </a:prstGeom>
                    <a:noFill/>
                    <a:ln>
                      <a:noFill/>
                    </a:ln>
                  </pic:spPr>
                </pic:pic>
              </a:graphicData>
            </a:graphic>
          </wp:inline>
        </w:drawing>
      </w:r>
    </w:p>
    <w:p w14:paraId="1A5AC598" w14:textId="77777777" w:rsidR="0068451E" w:rsidRDefault="0068451E" w:rsidP="0068451E">
      <w:pPr>
        <w:pStyle w:val="Default"/>
        <w:spacing w:before="240"/>
        <w:jc w:val="both"/>
        <w:rPr>
          <w:color w:val="auto"/>
          <w:sz w:val="22"/>
          <w:szCs w:val="22"/>
        </w:rPr>
      </w:pPr>
    </w:p>
    <w:p w14:paraId="275B0C85" w14:textId="77777777" w:rsidR="0068451E" w:rsidRDefault="0068451E" w:rsidP="0068451E">
      <w:pPr>
        <w:pStyle w:val="Default"/>
        <w:spacing w:before="240"/>
        <w:jc w:val="both"/>
        <w:rPr>
          <w:b/>
          <w:color w:val="auto"/>
          <w:sz w:val="22"/>
          <w:szCs w:val="22"/>
        </w:rPr>
      </w:pPr>
      <w:r w:rsidRPr="006D770D">
        <w:rPr>
          <w:noProof/>
          <w:lang w:eastAsia="cs-CZ"/>
        </w:rPr>
        <w:drawing>
          <wp:inline distT="0" distB="0" distL="0" distR="0" wp14:anchorId="6AFC1BE9" wp14:editId="64C7B26D">
            <wp:extent cx="5718175" cy="116395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8175" cy="1163955"/>
                    </a:xfrm>
                    <a:prstGeom prst="rect">
                      <a:avLst/>
                    </a:prstGeom>
                    <a:noFill/>
                    <a:ln>
                      <a:noFill/>
                    </a:ln>
                  </pic:spPr>
                </pic:pic>
              </a:graphicData>
            </a:graphic>
          </wp:inline>
        </w:drawing>
      </w:r>
    </w:p>
    <w:p w14:paraId="052DFE73" w14:textId="77777777" w:rsidR="00C64087" w:rsidRDefault="00C64087" w:rsidP="008A5BB2">
      <w:pPr>
        <w:pStyle w:val="Default"/>
        <w:spacing w:before="240"/>
        <w:jc w:val="both"/>
        <w:rPr>
          <w:b/>
          <w:color w:val="auto"/>
          <w:sz w:val="22"/>
          <w:szCs w:val="22"/>
        </w:rPr>
      </w:pPr>
    </w:p>
    <w:p w14:paraId="049B2EC2" w14:textId="14C977A7" w:rsidR="00E74FC7" w:rsidRDefault="00AA3121" w:rsidP="00E74FC7">
      <w:pPr>
        <w:pStyle w:val="Default"/>
        <w:spacing w:before="240"/>
        <w:jc w:val="both"/>
        <w:rPr>
          <w:b/>
          <w:color w:val="auto"/>
          <w:sz w:val="22"/>
          <w:szCs w:val="22"/>
        </w:rPr>
      </w:pPr>
      <w:r w:rsidRPr="00AA3121">
        <w:rPr>
          <w:noProof/>
          <w:lang w:eastAsia="cs-CZ"/>
        </w:rPr>
        <w:drawing>
          <wp:inline distT="0" distB="0" distL="0" distR="0" wp14:anchorId="23F89B98" wp14:editId="00E2B86A">
            <wp:extent cx="5718175" cy="99758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8175" cy="997585"/>
                    </a:xfrm>
                    <a:prstGeom prst="rect">
                      <a:avLst/>
                    </a:prstGeom>
                    <a:noFill/>
                    <a:ln>
                      <a:noFill/>
                    </a:ln>
                  </pic:spPr>
                </pic:pic>
              </a:graphicData>
            </a:graphic>
          </wp:inline>
        </w:drawing>
      </w:r>
    </w:p>
    <w:p w14:paraId="7BB65D0F" w14:textId="0937B79E" w:rsidR="00E74FC7" w:rsidRDefault="009C3801" w:rsidP="00E74FC7">
      <w:pPr>
        <w:pStyle w:val="Default"/>
        <w:spacing w:before="240"/>
        <w:jc w:val="both"/>
        <w:rPr>
          <w:color w:val="auto"/>
          <w:sz w:val="22"/>
          <w:szCs w:val="22"/>
        </w:rPr>
      </w:pPr>
      <w:r w:rsidRPr="009C3801">
        <w:rPr>
          <w:color w:val="auto"/>
          <w:sz w:val="22"/>
          <w:szCs w:val="22"/>
        </w:rPr>
        <w:t xml:space="preserve">Na </w:t>
      </w:r>
      <w:r w:rsidR="00E74FC7" w:rsidRPr="009C3801">
        <w:rPr>
          <w:color w:val="auto"/>
          <w:sz w:val="22"/>
          <w:szCs w:val="22"/>
        </w:rPr>
        <w:t>lin</w:t>
      </w:r>
      <w:r w:rsidR="00AA3121">
        <w:rPr>
          <w:color w:val="auto"/>
          <w:sz w:val="22"/>
          <w:szCs w:val="22"/>
        </w:rPr>
        <w:t>kách</w:t>
      </w:r>
      <w:r w:rsidR="00E74FC7" w:rsidRPr="009C3801">
        <w:rPr>
          <w:color w:val="auto"/>
          <w:sz w:val="22"/>
          <w:szCs w:val="22"/>
        </w:rPr>
        <w:t xml:space="preserve"> </w:t>
      </w:r>
      <w:r w:rsidR="00AA3121">
        <w:rPr>
          <w:color w:val="auto"/>
          <w:sz w:val="22"/>
          <w:szCs w:val="22"/>
        </w:rPr>
        <w:t>350100 a 760110</w:t>
      </w:r>
      <w:r w:rsidR="00371AD5">
        <w:rPr>
          <w:color w:val="auto"/>
          <w:sz w:val="22"/>
          <w:szCs w:val="22"/>
        </w:rPr>
        <w:t xml:space="preserve"> </w:t>
      </w:r>
      <w:r w:rsidR="00E74FC7" w:rsidRPr="009C3801">
        <w:rPr>
          <w:color w:val="auto"/>
          <w:sz w:val="22"/>
          <w:szCs w:val="22"/>
        </w:rPr>
        <w:t xml:space="preserve">je možné využít </w:t>
      </w:r>
      <w:r w:rsidR="00207875">
        <w:rPr>
          <w:color w:val="auto"/>
          <w:sz w:val="22"/>
          <w:szCs w:val="22"/>
        </w:rPr>
        <w:t>rezervační doklad dopravce,</w:t>
      </w:r>
      <w:r w:rsidR="00E74FC7" w:rsidRPr="009C3801">
        <w:rPr>
          <w:color w:val="auto"/>
          <w:sz w:val="22"/>
          <w:szCs w:val="22"/>
        </w:rPr>
        <w:t xml:space="preserve"> je</w:t>
      </w:r>
      <w:r w:rsidR="00207875">
        <w:rPr>
          <w:color w:val="auto"/>
          <w:sz w:val="22"/>
          <w:szCs w:val="22"/>
        </w:rPr>
        <w:t>ho</w:t>
      </w:r>
      <w:r w:rsidR="00E74FC7" w:rsidRPr="009C3801">
        <w:rPr>
          <w:color w:val="auto"/>
          <w:sz w:val="22"/>
          <w:szCs w:val="22"/>
        </w:rPr>
        <w:t xml:space="preserve"> použití stanovuje Tarif </w:t>
      </w:r>
      <w:r w:rsidR="00207875">
        <w:rPr>
          <w:color w:val="auto"/>
          <w:sz w:val="22"/>
          <w:szCs w:val="22"/>
        </w:rPr>
        <w:t>a SPP dopravce</w:t>
      </w:r>
      <w:r w:rsidR="00E74FC7" w:rsidRPr="009C3801">
        <w:rPr>
          <w:color w:val="auto"/>
          <w:sz w:val="22"/>
          <w:szCs w:val="22"/>
        </w:rPr>
        <w:t>.</w:t>
      </w:r>
      <w:r>
        <w:rPr>
          <w:color w:val="auto"/>
          <w:sz w:val="22"/>
          <w:szCs w:val="22"/>
        </w:rPr>
        <w:t xml:space="preserve"> </w:t>
      </w:r>
      <w:r w:rsidR="00207875">
        <w:rPr>
          <w:color w:val="auto"/>
          <w:sz w:val="22"/>
          <w:szCs w:val="22"/>
        </w:rPr>
        <w:t>Tento doklad není přestupný na jiné linky VDV.</w:t>
      </w:r>
    </w:p>
    <w:p w14:paraId="398BE730" w14:textId="77777777" w:rsidR="0068451E" w:rsidRDefault="0068451E" w:rsidP="00E74FC7">
      <w:pPr>
        <w:pStyle w:val="Default"/>
        <w:spacing w:before="240"/>
        <w:jc w:val="both"/>
        <w:rPr>
          <w:color w:val="auto"/>
          <w:sz w:val="22"/>
          <w:szCs w:val="22"/>
        </w:rPr>
      </w:pPr>
    </w:p>
    <w:p w14:paraId="499B25DA" w14:textId="52968AEE" w:rsidR="00E74FC7" w:rsidRDefault="00AA3121" w:rsidP="00E74FC7">
      <w:pPr>
        <w:pStyle w:val="Default"/>
        <w:spacing w:before="240"/>
        <w:jc w:val="both"/>
        <w:rPr>
          <w:b/>
          <w:color w:val="auto"/>
          <w:sz w:val="22"/>
          <w:szCs w:val="22"/>
        </w:rPr>
      </w:pPr>
      <w:r w:rsidRPr="00AA3121">
        <w:rPr>
          <w:noProof/>
          <w:lang w:eastAsia="cs-CZ"/>
        </w:rPr>
        <w:lastRenderedPageBreak/>
        <w:drawing>
          <wp:inline distT="0" distB="0" distL="0" distR="0" wp14:anchorId="0A92F657" wp14:editId="18FD9053">
            <wp:extent cx="5718175" cy="68897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8175" cy="688975"/>
                    </a:xfrm>
                    <a:prstGeom prst="rect">
                      <a:avLst/>
                    </a:prstGeom>
                    <a:noFill/>
                    <a:ln>
                      <a:noFill/>
                    </a:ln>
                  </pic:spPr>
                </pic:pic>
              </a:graphicData>
            </a:graphic>
          </wp:inline>
        </w:drawing>
      </w:r>
    </w:p>
    <w:p w14:paraId="0B33E4C7" w14:textId="4DA0552B" w:rsidR="00371AD5" w:rsidRDefault="00BA46F9" w:rsidP="00E74FC7">
      <w:pPr>
        <w:pStyle w:val="Default"/>
        <w:spacing w:before="240"/>
        <w:jc w:val="both"/>
        <w:rPr>
          <w:color w:val="auto"/>
          <w:sz w:val="22"/>
          <w:szCs w:val="22"/>
        </w:rPr>
      </w:pPr>
      <w:r w:rsidRPr="00795D75">
        <w:rPr>
          <w:color w:val="auto"/>
          <w:sz w:val="22"/>
          <w:szCs w:val="22"/>
        </w:rPr>
        <w:t>Jízdní doklady VDV</w:t>
      </w:r>
      <w:r w:rsidR="00795D75" w:rsidRPr="00795D75">
        <w:rPr>
          <w:color w:val="auto"/>
          <w:sz w:val="22"/>
          <w:szCs w:val="22"/>
        </w:rPr>
        <w:t xml:space="preserve"> platí pro přepravu mezi  zastávkami Brno,ÚAN Zvonařka a </w:t>
      </w:r>
      <w:r w:rsidR="0058595A">
        <w:rPr>
          <w:color w:val="auto"/>
          <w:sz w:val="22"/>
          <w:szCs w:val="22"/>
        </w:rPr>
        <w:t>Pelhřimov.</w:t>
      </w:r>
    </w:p>
    <w:p w14:paraId="5FE6D0EB" w14:textId="5A5BF087" w:rsidR="00E74FC7" w:rsidRDefault="00E74FC7" w:rsidP="00E74FC7">
      <w:pPr>
        <w:pStyle w:val="Default"/>
        <w:spacing w:before="240"/>
        <w:jc w:val="both"/>
        <w:rPr>
          <w:b/>
          <w:color w:val="auto"/>
          <w:sz w:val="22"/>
          <w:szCs w:val="22"/>
        </w:rPr>
      </w:pPr>
      <w:r>
        <w:rPr>
          <w:b/>
          <w:color w:val="auto"/>
          <w:sz w:val="22"/>
          <w:szCs w:val="22"/>
        </w:rPr>
        <w:t>D</w:t>
      </w:r>
      <w:r w:rsidRPr="00ED2168">
        <w:rPr>
          <w:b/>
          <w:color w:val="auto"/>
          <w:sz w:val="22"/>
          <w:szCs w:val="22"/>
        </w:rPr>
        <w:t xml:space="preserve">. </w:t>
      </w:r>
      <w:r>
        <w:rPr>
          <w:b/>
          <w:color w:val="auto"/>
          <w:sz w:val="22"/>
          <w:szCs w:val="22"/>
        </w:rPr>
        <w:t>Železniční tratě a integrované úseky do VDV</w:t>
      </w:r>
    </w:p>
    <w:p w14:paraId="61749A5C" w14:textId="02259F65" w:rsidR="008B099B" w:rsidRPr="0068451E" w:rsidRDefault="00E74FC7" w:rsidP="00E74FC7">
      <w:pPr>
        <w:pStyle w:val="Default"/>
        <w:spacing w:before="240"/>
        <w:jc w:val="both"/>
        <w:rPr>
          <w:color w:val="auto"/>
          <w:sz w:val="22"/>
          <w:szCs w:val="22"/>
        </w:rPr>
      </w:pPr>
      <w:r w:rsidRPr="0068451E">
        <w:rPr>
          <w:color w:val="auto"/>
          <w:sz w:val="22"/>
          <w:szCs w:val="22"/>
        </w:rPr>
        <w:t xml:space="preserve">Na těchto úsecích se uznávají papírové jízdní doklady VDV a to mezi stanicemi na území </w:t>
      </w:r>
      <w:r w:rsidR="00E609AB" w:rsidRPr="0068451E">
        <w:rPr>
          <w:color w:val="auto"/>
          <w:sz w:val="22"/>
          <w:szCs w:val="22"/>
        </w:rPr>
        <w:t>VDV</w:t>
      </w:r>
      <w:r w:rsidRPr="0068451E">
        <w:rPr>
          <w:color w:val="auto"/>
          <w:sz w:val="22"/>
          <w:szCs w:val="22"/>
        </w:rPr>
        <w:t xml:space="preserve">, v nichž spoje </w:t>
      </w:r>
      <w:r w:rsidR="006F3F36" w:rsidRPr="0068451E">
        <w:rPr>
          <w:color w:val="auto"/>
          <w:sz w:val="22"/>
          <w:szCs w:val="22"/>
        </w:rPr>
        <w:t>drážních dopravců</w:t>
      </w:r>
      <w:r w:rsidRPr="0068451E">
        <w:rPr>
          <w:color w:val="auto"/>
          <w:sz w:val="22"/>
          <w:szCs w:val="22"/>
        </w:rPr>
        <w:t xml:space="preserve"> na linkách a v souladu s platným jízdním řádem zastavují za účelem nástupu nebo výstupu cestujících. Ve vyhlášených rychlících musejí cestující mít plat</w:t>
      </w:r>
      <w:r w:rsidR="00F01966" w:rsidRPr="0068451E">
        <w:rPr>
          <w:color w:val="auto"/>
          <w:sz w:val="22"/>
          <w:szCs w:val="22"/>
        </w:rPr>
        <w:t xml:space="preserve">ný jízdní doklad </w:t>
      </w:r>
      <w:r w:rsidRPr="0068451E">
        <w:rPr>
          <w:color w:val="auto"/>
          <w:sz w:val="22"/>
          <w:szCs w:val="22"/>
        </w:rPr>
        <w:t>VDV pro celou trasu ze stanice nástupu minimálně do následující stanice nebo do dalších následujících stanic, kde rychlík zastavuje.</w:t>
      </w:r>
    </w:p>
    <w:p w14:paraId="34E9A209" w14:textId="604B8F17" w:rsidR="00E74FC7" w:rsidRDefault="00C04205" w:rsidP="008B099B">
      <w:pPr>
        <w:pStyle w:val="Default"/>
        <w:jc w:val="both"/>
        <w:rPr>
          <w:color w:val="auto"/>
          <w:sz w:val="22"/>
          <w:szCs w:val="22"/>
        </w:rPr>
      </w:pPr>
      <w:r w:rsidRPr="0068451E">
        <w:rPr>
          <w:color w:val="auto"/>
          <w:sz w:val="22"/>
          <w:szCs w:val="22"/>
        </w:rPr>
        <w:t xml:space="preserve">V případě přesahu Tarifu VDV na území jiného kraje se Tarif VDV použije na přepravu z a do Kraje Vysočina. Nelze ho využít pro přepravu </w:t>
      </w:r>
      <w:r w:rsidR="008B099B" w:rsidRPr="0068451E">
        <w:rPr>
          <w:color w:val="auto"/>
          <w:sz w:val="22"/>
          <w:szCs w:val="22"/>
        </w:rPr>
        <w:t xml:space="preserve">mezi </w:t>
      </w:r>
      <w:r w:rsidR="00E609AB" w:rsidRPr="0068451E">
        <w:rPr>
          <w:color w:val="auto"/>
          <w:sz w:val="22"/>
          <w:szCs w:val="22"/>
        </w:rPr>
        <w:t>stanicemi</w:t>
      </w:r>
      <w:r w:rsidR="008B099B" w:rsidRPr="0068451E">
        <w:rPr>
          <w:color w:val="auto"/>
          <w:sz w:val="22"/>
          <w:szCs w:val="22"/>
        </w:rPr>
        <w:t xml:space="preserve"> </w:t>
      </w:r>
      <w:r w:rsidR="006F3F36" w:rsidRPr="0068451E">
        <w:rPr>
          <w:color w:val="auto"/>
          <w:sz w:val="22"/>
          <w:szCs w:val="22"/>
        </w:rPr>
        <w:t>v rámci</w:t>
      </w:r>
      <w:r w:rsidR="008B099B" w:rsidRPr="0068451E">
        <w:rPr>
          <w:color w:val="auto"/>
          <w:sz w:val="22"/>
          <w:szCs w:val="22"/>
        </w:rPr>
        <w:t xml:space="preserve"> území jiného kraje.</w:t>
      </w:r>
    </w:p>
    <w:p w14:paraId="06F1CA8F" w14:textId="77777777" w:rsidR="003212BB" w:rsidRPr="00040737" w:rsidRDefault="003212BB" w:rsidP="003212BB">
      <w:pPr>
        <w:pStyle w:val="Default"/>
        <w:spacing w:before="240"/>
        <w:jc w:val="both"/>
        <w:rPr>
          <w:b/>
          <w:color w:val="auto"/>
          <w:sz w:val="22"/>
          <w:szCs w:val="22"/>
          <w:u w:val="single"/>
        </w:rPr>
      </w:pPr>
      <w:r>
        <w:rPr>
          <w:b/>
          <w:color w:val="auto"/>
          <w:sz w:val="22"/>
          <w:szCs w:val="22"/>
          <w:u w:val="single"/>
        </w:rPr>
        <w:t>Linky</w:t>
      </w:r>
      <w:r w:rsidRPr="00040737">
        <w:rPr>
          <w:b/>
          <w:color w:val="auto"/>
          <w:sz w:val="22"/>
          <w:szCs w:val="22"/>
          <w:u w:val="single"/>
        </w:rPr>
        <w:t xml:space="preserve"> </w:t>
      </w:r>
      <w:r>
        <w:rPr>
          <w:b/>
          <w:color w:val="auto"/>
          <w:sz w:val="22"/>
          <w:szCs w:val="22"/>
          <w:u w:val="single"/>
        </w:rPr>
        <w:t>Českých drah a</w:t>
      </w:r>
      <w:r w:rsidRPr="00040737">
        <w:rPr>
          <w:b/>
          <w:color w:val="auto"/>
          <w:sz w:val="22"/>
          <w:szCs w:val="22"/>
          <w:u w:val="single"/>
        </w:rPr>
        <w:t xml:space="preserve"> integrovaný traťový úsek do VDV:</w:t>
      </w:r>
    </w:p>
    <w:p w14:paraId="707903E3" w14:textId="57CF434A" w:rsidR="00E74FC7" w:rsidRPr="00040737" w:rsidRDefault="00E74FC7" w:rsidP="00E74FC7">
      <w:pPr>
        <w:pStyle w:val="Default"/>
        <w:spacing w:before="240"/>
        <w:jc w:val="both"/>
        <w:rPr>
          <w:b/>
          <w:color w:val="auto"/>
          <w:sz w:val="22"/>
          <w:szCs w:val="22"/>
        </w:rPr>
      </w:pPr>
      <w:r w:rsidRPr="00040737">
        <w:rPr>
          <w:b/>
          <w:color w:val="auto"/>
          <w:sz w:val="22"/>
          <w:szCs w:val="22"/>
        </w:rPr>
        <w:t>212 Čerčany – Světlá nad Sázavou</w:t>
      </w:r>
    </w:p>
    <w:p w14:paraId="6D96FDD8" w14:textId="26178F21" w:rsidR="00E74FC7" w:rsidRDefault="0042352A" w:rsidP="0042352A">
      <w:pPr>
        <w:pStyle w:val="Default"/>
        <w:numPr>
          <w:ilvl w:val="0"/>
          <w:numId w:val="41"/>
        </w:numPr>
        <w:jc w:val="both"/>
        <w:rPr>
          <w:color w:val="auto"/>
          <w:sz w:val="22"/>
          <w:szCs w:val="22"/>
        </w:rPr>
      </w:pPr>
      <w:r>
        <w:rPr>
          <w:color w:val="auto"/>
          <w:sz w:val="22"/>
          <w:szCs w:val="22"/>
        </w:rPr>
        <w:t xml:space="preserve">Úsek </w:t>
      </w:r>
      <w:r w:rsidR="00684171">
        <w:rPr>
          <w:color w:val="auto"/>
          <w:sz w:val="22"/>
          <w:szCs w:val="22"/>
        </w:rPr>
        <w:t>Zruč nad Sázavou zastávka</w:t>
      </w:r>
      <w:r w:rsidR="00E74FC7">
        <w:rPr>
          <w:color w:val="auto"/>
          <w:sz w:val="22"/>
          <w:szCs w:val="22"/>
        </w:rPr>
        <w:t xml:space="preserve"> – Světlá nad Sázavou </w:t>
      </w:r>
      <w:r>
        <w:rPr>
          <w:color w:val="auto"/>
          <w:sz w:val="22"/>
          <w:szCs w:val="22"/>
        </w:rPr>
        <w:t xml:space="preserve">je </w:t>
      </w:r>
      <w:r w:rsidR="00E74FC7">
        <w:rPr>
          <w:color w:val="auto"/>
          <w:sz w:val="22"/>
          <w:szCs w:val="22"/>
        </w:rPr>
        <w:t xml:space="preserve">integrovaný do  VDV </w:t>
      </w:r>
    </w:p>
    <w:p w14:paraId="54953457"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224 Tábor – Horní Cerekev</w:t>
      </w:r>
    </w:p>
    <w:p w14:paraId="4710B3D2" w14:textId="77777777" w:rsidR="00684171" w:rsidRDefault="00684171" w:rsidP="00684171">
      <w:pPr>
        <w:pStyle w:val="Default"/>
        <w:numPr>
          <w:ilvl w:val="0"/>
          <w:numId w:val="40"/>
        </w:numPr>
        <w:jc w:val="both"/>
        <w:rPr>
          <w:color w:val="auto"/>
          <w:sz w:val="22"/>
          <w:szCs w:val="22"/>
        </w:rPr>
      </w:pPr>
      <w:r>
        <w:rPr>
          <w:color w:val="auto"/>
          <w:sz w:val="22"/>
          <w:szCs w:val="22"/>
        </w:rPr>
        <w:t>Linka je celá integrovaná do VDV</w:t>
      </w:r>
    </w:p>
    <w:p w14:paraId="2753F701"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225 Havlíčkův Brod – Veselí nad Lužnicí (- České Budějovice)</w:t>
      </w:r>
    </w:p>
    <w:p w14:paraId="5B379789" w14:textId="0139D907" w:rsidR="00E74FC7" w:rsidRDefault="00E74FC7" w:rsidP="00684171">
      <w:pPr>
        <w:pStyle w:val="Default"/>
        <w:numPr>
          <w:ilvl w:val="0"/>
          <w:numId w:val="40"/>
        </w:numPr>
        <w:jc w:val="both"/>
        <w:rPr>
          <w:color w:val="auto"/>
          <w:sz w:val="22"/>
          <w:szCs w:val="22"/>
        </w:rPr>
      </w:pPr>
      <w:r>
        <w:rPr>
          <w:color w:val="auto"/>
          <w:sz w:val="22"/>
          <w:szCs w:val="22"/>
        </w:rPr>
        <w:t xml:space="preserve">Úsek Havlíčkův Brod – Počátky-Žirovnice </w:t>
      </w:r>
      <w:r w:rsidR="00684171">
        <w:rPr>
          <w:color w:val="auto"/>
          <w:sz w:val="22"/>
          <w:szCs w:val="22"/>
        </w:rPr>
        <w:t xml:space="preserve">je </w:t>
      </w:r>
      <w:r>
        <w:rPr>
          <w:color w:val="auto"/>
          <w:sz w:val="22"/>
          <w:szCs w:val="22"/>
        </w:rPr>
        <w:t>integrovaný do  VDV</w:t>
      </w:r>
    </w:p>
    <w:p w14:paraId="7EBD491E"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227 Kostelec u Jihlavy – Slavonice</w:t>
      </w:r>
    </w:p>
    <w:p w14:paraId="3EAB08BF" w14:textId="14BC3794" w:rsidR="00E74FC7" w:rsidRDefault="00E74FC7" w:rsidP="00684171">
      <w:pPr>
        <w:pStyle w:val="Default"/>
        <w:numPr>
          <w:ilvl w:val="0"/>
          <w:numId w:val="40"/>
        </w:numPr>
        <w:jc w:val="both"/>
        <w:rPr>
          <w:color w:val="auto"/>
          <w:sz w:val="22"/>
          <w:szCs w:val="22"/>
        </w:rPr>
      </w:pPr>
      <w:r>
        <w:rPr>
          <w:color w:val="auto"/>
          <w:sz w:val="22"/>
          <w:szCs w:val="22"/>
        </w:rPr>
        <w:t xml:space="preserve">Úsek </w:t>
      </w:r>
      <w:r w:rsidRPr="001B35CF">
        <w:rPr>
          <w:color w:val="auto"/>
          <w:sz w:val="22"/>
          <w:szCs w:val="22"/>
        </w:rPr>
        <w:t>Kostelec u Jihlavy</w:t>
      </w:r>
      <w:r>
        <w:rPr>
          <w:color w:val="auto"/>
          <w:sz w:val="22"/>
          <w:szCs w:val="22"/>
        </w:rPr>
        <w:t xml:space="preserve"> – </w:t>
      </w:r>
      <w:r w:rsidR="00684171">
        <w:rPr>
          <w:color w:val="auto"/>
          <w:sz w:val="22"/>
          <w:szCs w:val="22"/>
        </w:rPr>
        <w:t xml:space="preserve">Dačice město je </w:t>
      </w:r>
      <w:r>
        <w:rPr>
          <w:color w:val="auto"/>
          <w:sz w:val="22"/>
          <w:szCs w:val="22"/>
        </w:rPr>
        <w:t>integrovaný do  VDV</w:t>
      </w:r>
    </w:p>
    <w:p w14:paraId="427B632D"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230 (Praha -) Kolín – Havlíčkův Brod</w:t>
      </w:r>
    </w:p>
    <w:p w14:paraId="12987C62" w14:textId="3788B254" w:rsidR="00E74FC7" w:rsidRDefault="00684171" w:rsidP="00684171">
      <w:pPr>
        <w:pStyle w:val="Default"/>
        <w:numPr>
          <w:ilvl w:val="0"/>
          <w:numId w:val="40"/>
        </w:numPr>
        <w:jc w:val="both"/>
        <w:rPr>
          <w:color w:val="auto"/>
          <w:sz w:val="22"/>
          <w:szCs w:val="22"/>
        </w:rPr>
      </w:pPr>
      <w:r>
        <w:rPr>
          <w:color w:val="auto"/>
          <w:sz w:val="22"/>
          <w:szCs w:val="22"/>
        </w:rPr>
        <w:t>Úsek Čáslav</w:t>
      </w:r>
      <w:r w:rsidR="00E74FC7">
        <w:rPr>
          <w:color w:val="auto"/>
          <w:sz w:val="22"/>
          <w:szCs w:val="22"/>
        </w:rPr>
        <w:t xml:space="preserve"> – Havlíčkův Brod </w:t>
      </w:r>
      <w:r>
        <w:rPr>
          <w:color w:val="auto"/>
          <w:sz w:val="22"/>
          <w:szCs w:val="22"/>
        </w:rPr>
        <w:t xml:space="preserve">je </w:t>
      </w:r>
      <w:r w:rsidR="00E74FC7">
        <w:rPr>
          <w:color w:val="auto"/>
          <w:sz w:val="22"/>
          <w:szCs w:val="22"/>
        </w:rPr>
        <w:t>integrovaný do  VDV</w:t>
      </w:r>
    </w:p>
    <w:p w14:paraId="6BC2E4CA"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237 Havlíčkův Brod - Humpolec a zpět</w:t>
      </w:r>
    </w:p>
    <w:p w14:paraId="2ED01B03" w14:textId="6EEF2E80" w:rsidR="00E74FC7" w:rsidRDefault="00F05902" w:rsidP="00684171">
      <w:pPr>
        <w:pStyle w:val="Default"/>
        <w:numPr>
          <w:ilvl w:val="0"/>
          <w:numId w:val="40"/>
        </w:numPr>
        <w:jc w:val="both"/>
        <w:rPr>
          <w:color w:val="auto"/>
          <w:sz w:val="22"/>
          <w:szCs w:val="22"/>
        </w:rPr>
      </w:pPr>
      <w:r>
        <w:rPr>
          <w:color w:val="auto"/>
          <w:sz w:val="22"/>
          <w:szCs w:val="22"/>
        </w:rPr>
        <w:t>Linka</w:t>
      </w:r>
      <w:r w:rsidR="00E74FC7">
        <w:rPr>
          <w:color w:val="auto"/>
          <w:sz w:val="22"/>
          <w:szCs w:val="22"/>
        </w:rPr>
        <w:t xml:space="preserve"> je celá integrovaná do VDV</w:t>
      </w:r>
    </w:p>
    <w:p w14:paraId="00A8FEDC"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238 Pardubice – Havlíčkův Brod</w:t>
      </w:r>
    </w:p>
    <w:p w14:paraId="6E45FD4F" w14:textId="4A64A254" w:rsidR="00E74FC7" w:rsidRPr="00E075FC" w:rsidRDefault="00E74FC7" w:rsidP="00684171">
      <w:pPr>
        <w:pStyle w:val="Default"/>
        <w:numPr>
          <w:ilvl w:val="0"/>
          <w:numId w:val="40"/>
        </w:numPr>
        <w:jc w:val="both"/>
        <w:rPr>
          <w:color w:val="auto"/>
          <w:sz w:val="22"/>
          <w:szCs w:val="22"/>
        </w:rPr>
      </w:pPr>
      <w:r w:rsidRPr="00E075FC">
        <w:rPr>
          <w:color w:val="auto"/>
          <w:sz w:val="22"/>
          <w:szCs w:val="22"/>
        </w:rPr>
        <w:t xml:space="preserve">Úsek </w:t>
      </w:r>
      <w:r w:rsidR="00DB1D84">
        <w:rPr>
          <w:color w:val="auto"/>
          <w:sz w:val="22"/>
          <w:szCs w:val="22"/>
        </w:rPr>
        <w:t>Hlinsko v Čechách</w:t>
      </w:r>
      <w:r w:rsidRPr="00E075FC">
        <w:rPr>
          <w:color w:val="auto"/>
          <w:sz w:val="22"/>
          <w:szCs w:val="22"/>
        </w:rPr>
        <w:t xml:space="preserve"> – Havlíčkův Brod </w:t>
      </w:r>
      <w:r w:rsidR="00684171">
        <w:rPr>
          <w:color w:val="auto"/>
          <w:sz w:val="22"/>
          <w:szCs w:val="22"/>
        </w:rPr>
        <w:t xml:space="preserve">je </w:t>
      </w:r>
      <w:r w:rsidRPr="00E075FC">
        <w:rPr>
          <w:color w:val="auto"/>
          <w:sz w:val="22"/>
          <w:szCs w:val="22"/>
        </w:rPr>
        <w:t>integrovaný do  VDV</w:t>
      </w:r>
    </w:p>
    <w:p w14:paraId="0E13B32B" w14:textId="77777777" w:rsidR="00E74FC7" w:rsidRPr="00040737" w:rsidRDefault="00E74FC7" w:rsidP="00E74FC7">
      <w:pPr>
        <w:pStyle w:val="Default"/>
        <w:spacing w:before="240"/>
        <w:jc w:val="both"/>
        <w:rPr>
          <w:b/>
          <w:color w:val="auto"/>
          <w:sz w:val="22"/>
          <w:szCs w:val="22"/>
        </w:rPr>
      </w:pPr>
      <w:r w:rsidRPr="00040737">
        <w:rPr>
          <w:b/>
          <w:color w:val="auto"/>
          <w:sz w:val="22"/>
          <w:szCs w:val="22"/>
        </w:rPr>
        <w:t xml:space="preserve">240 Brno - Jihlava </w:t>
      </w:r>
    </w:p>
    <w:p w14:paraId="24CD3431" w14:textId="7A793CEC" w:rsidR="00E74FC7" w:rsidRDefault="00E74FC7" w:rsidP="00684171">
      <w:pPr>
        <w:pStyle w:val="Default"/>
        <w:numPr>
          <w:ilvl w:val="0"/>
          <w:numId w:val="40"/>
        </w:numPr>
        <w:jc w:val="both"/>
        <w:rPr>
          <w:color w:val="auto"/>
          <w:sz w:val="22"/>
          <w:szCs w:val="22"/>
        </w:rPr>
      </w:pPr>
      <w:r>
        <w:rPr>
          <w:color w:val="auto"/>
          <w:sz w:val="22"/>
          <w:szCs w:val="22"/>
        </w:rPr>
        <w:t>Úsek Rapotice - Jihlava je integrovaný do VDV</w:t>
      </w:r>
    </w:p>
    <w:p w14:paraId="6F57FEC9"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241 Znojmo – Okříšky</w:t>
      </w:r>
    </w:p>
    <w:p w14:paraId="1DD64DB2" w14:textId="44B156E7" w:rsidR="00E74FC7" w:rsidRDefault="00E74FC7" w:rsidP="00684171">
      <w:pPr>
        <w:pStyle w:val="Default"/>
        <w:numPr>
          <w:ilvl w:val="0"/>
          <w:numId w:val="40"/>
        </w:numPr>
        <w:jc w:val="both"/>
        <w:rPr>
          <w:color w:val="auto"/>
          <w:sz w:val="22"/>
          <w:szCs w:val="22"/>
        </w:rPr>
      </w:pPr>
      <w:r>
        <w:rPr>
          <w:color w:val="auto"/>
          <w:sz w:val="22"/>
          <w:szCs w:val="22"/>
        </w:rPr>
        <w:t>Úsek Vesce – Okříšky je integrovaný do VDV</w:t>
      </w:r>
    </w:p>
    <w:p w14:paraId="416F7610"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250 (Praha -) Havlíčkův Brod – Tišnov (- Brno)</w:t>
      </w:r>
    </w:p>
    <w:p w14:paraId="6C1119D4" w14:textId="18E64C90" w:rsidR="00E74FC7" w:rsidRDefault="00E74FC7" w:rsidP="00684171">
      <w:pPr>
        <w:pStyle w:val="Default"/>
        <w:numPr>
          <w:ilvl w:val="0"/>
          <w:numId w:val="40"/>
        </w:numPr>
        <w:jc w:val="both"/>
        <w:rPr>
          <w:color w:val="auto"/>
          <w:sz w:val="22"/>
          <w:szCs w:val="22"/>
        </w:rPr>
      </w:pPr>
      <w:r>
        <w:rPr>
          <w:color w:val="auto"/>
          <w:sz w:val="22"/>
          <w:szCs w:val="22"/>
        </w:rPr>
        <w:t>Úsek Havlíčkův Brod – Vlkov u Tišnova je integrovaný do VDV</w:t>
      </w:r>
    </w:p>
    <w:p w14:paraId="6718C7EF"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256 Žďár nad Sázavou – Nové Město na Moravě – Tišnov</w:t>
      </w:r>
    </w:p>
    <w:p w14:paraId="3CBB07A6" w14:textId="2FF8974F" w:rsidR="00E74FC7" w:rsidRDefault="00E74FC7" w:rsidP="00684171">
      <w:pPr>
        <w:pStyle w:val="Default"/>
        <w:numPr>
          <w:ilvl w:val="0"/>
          <w:numId w:val="40"/>
        </w:numPr>
        <w:jc w:val="both"/>
        <w:rPr>
          <w:color w:val="auto"/>
          <w:sz w:val="22"/>
          <w:szCs w:val="22"/>
        </w:rPr>
      </w:pPr>
      <w:r>
        <w:rPr>
          <w:color w:val="auto"/>
          <w:sz w:val="22"/>
          <w:szCs w:val="22"/>
        </w:rPr>
        <w:t>Úsek Žďár nad Sázavou – Věžná je integrovaný do VDV</w:t>
      </w:r>
    </w:p>
    <w:p w14:paraId="6E212D64" w14:textId="77777777" w:rsidR="00E74FC7" w:rsidRPr="00040737" w:rsidRDefault="00E74FC7" w:rsidP="00E74FC7">
      <w:pPr>
        <w:pStyle w:val="Default"/>
        <w:spacing w:before="240"/>
        <w:jc w:val="both"/>
        <w:rPr>
          <w:b/>
          <w:color w:val="auto"/>
          <w:sz w:val="22"/>
          <w:szCs w:val="22"/>
        </w:rPr>
      </w:pPr>
      <w:r w:rsidRPr="00040737">
        <w:rPr>
          <w:b/>
          <w:color w:val="auto"/>
          <w:sz w:val="22"/>
          <w:szCs w:val="22"/>
        </w:rPr>
        <w:t>257 Křižanov – Studenec</w:t>
      </w:r>
    </w:p>
    <w:p w14:paraId="09D7371D" w14:textId="164F2BD0" w:rsidR="00E74FC7" w:rsidRDefault="00F05902" w:rsidP="00684171">
      <w:pPr>
        <w:pStyle w:val="Default"/>
        <w:numPr>
          <w:ilvl w:val="0"/>
          <w:numId w:val="40"/>
        </w:numPr>
        <w:jc w:val="both"/>
        <w:rPr>
          <w:color w:val="auto"/>
          <w:sz w:val="22"/>
          <w:szCs w:val="22"/>
        </w:rPr>
      </w:pPr>
      <w:r>
        <w:rPr>
          <w:color w:val="auto"/>
          <w:sz w:val="22"/>
          <w:szCs w:val="22"/>
        </w:rPr>
        <w:t>Linka</w:t>
      </w:r>
      <w:r w:rsidR="00E74FC7">
        <w:rPr>
          <w:color w:val="auto"/>
          <w:sz w:val="22"/>
          <w:szCs w:val="22"/>
        </w:rPr>
        <w:t xml:space="preserve"> je celá integrovaná do VDV</w:t>
      </w:r>
    </w:p>
    <w:p w14:paraId="5068FC22" w14:textId="4F7BB61B" w:rsidR="00E74FC7" w:rsidRDefault="00E74FC7" w:rsidP="00E74FC7">
      <w:pPr>
        <w:autoSpaceDE w:val="0"/>
        <w:autoSpaceDN w:val="0"/>
        <w:adjustRightInd w:val="0"/>
        <w:spacing w:after="0" w:line="240" w:lineRule="auto"/>
        <w:rPr>
          <w:rFonts w:ascii="Arial" w:hAnsi="Arial" w:cs="Arial"/>
          <w:b/>
          <w:bCs/>
          <w:color w:val="000000"/>
          <w:sz w:val="36"/>
          <w:szCs w:val="36"/>
        </w:rPr>
      </w:pPr>
    </w:p>
    <w:p w14:paraId="70EE63FB" w14:textId="77777777" w:rsidR="003212BB" w:rsidRPr="00040737" w:rsidRDefault="003212BB" w:rsidP="003212BB">
      <w:pPr>
        <w:pStyle w:val="Default"/>
        <w:spacing w:before="240"/>
        <w:jc w:val="both"/>
        <w:rPr>
          <w:b/>
          <w:color w:val="auto"/>
          <w:sz w:val="22"/>
          <w:szCs w:val="22"/>
          <w:u w:val="single"/>
        </w:rPr>
      </w:pPr>
      <w:r>
        <w:rPr>
          <w:b/>
          <w:color w:val="auto"/>
          <w:sz w:val="22"/>
          <w:szCs w:val="22"/>
          <w:u w:val="single"/>
        </w:rPr>
        <w:lastRenderedPageBreak/>
        <w:t>Linka</w:t>
      </w:r>
      <w:r w:rsidRPr="00040737">
        <w:rPr>
          <w:b/>
          <w:color w:val="auto"/>
          <w:sz w:val="22"/>
          <w:szCs w:val="22"/>
          <w:u w:val="single"/>
        </w:rPr>
        <w:t xml:space="preserve"> </w:t>
      </w:r>
      <w:r>
        <w:rPr>
          <w:b/>
          <w:color w:val="auto"/>
          <w:sz w:val="22"/>
          <w:szCs w:val="22"/>
          <w:u w:val="single"/>
        </w:rPr>
        <w:t>Railway Capital a</w:t>
      </w:r>
      <w:r w:rsidRPr="00040737">
        <w:rPr>
          <w:b/>
          <w:color w:val="auto"/>
          <w:sz w:val="22"/>
          <w:szCs w:val="22"/>
          <w:u w:val="single"/>
        </w:rPr>
        <w:t xml:space="preserve"> integrovaný traťový úsek do VDV:</w:t>
      </w:r>
    </w:p>
    <w:p w14:paraId="047E9284" w14:textId="77777777" w:rsidR="003212BB" w:rsidRPr="00040737" w:rsidRDefault="003212BB" w:rsidP="003212BB">
      <w:pPr>
        <w:pStyle w:val="Default"/>
        <w:spacing w:before="240"/>
        <w:jc w:val="both"/>
        <w:rPr>
          <w:b/>
          <w:color w:val="auto"/>
          <w:sz w:val="22"/>
          <w:szCs w:val="22"/>
        </w:rPr>
      </w:pPr>
      <w:r>
        <w:rPr>
          <w:b/>
          <w:color w:val="auto"/>
          <w:sz w:val="22"/>
          <w:szCs w:val="22"/>
        </w:rPr>
        <w:t>243</w:t>
      </w:r>
      <w:r w:rsidRPr="00040737">
        <w:rPr>
          <w:b/>
          <w:color w:val="auto"/>
          <w:sz w:val="22"/>
          <w:szCs w:val="22"/>
        </w:rPr>
        <w:t xml:space="preserve"> </w:t>
      </w:r>
      <w:r>
        <w:rPr>
          <w:b/>
          <w:color w:val="auto"/>
          <w:sz w:val="22"/>
          <w:szCs w:val="22"/>
        </w:rPr>
        <w:t>Moravské Budějovice - Jemnice</w:t>
      </w:r>
    </w:p>
    <w:p w14:paraId="11F9AA21" w14:textId="53D46D77" w:rsidR="0019384C" w:rsidRPr="00DF54BE" w:rsidRDefault="003212BB" w:rsidP="006F3F36">
      <w:pPr>
        <w:pStyle w:val="Default"/>
        <w:numPr>
          <w:ilvl w:val="0"/>
          <w:numId w:val="40"/>
        </w:numPr>
        <w:jc w:val="both"/>
        <w:rPr>
          <w:b/>
        </w:rPr>
      </w:pPr>
      <w:r>
        <w:rPr>
          <w:color w:val="auto"/>
          <w:sz w:val="22"/>
          <w:szCs w:val="22"/>
        </w:rPr>
        <w:t>Linka je celá integrovaná do VDV</w:t>
      </w:r>
    </w:p>
    <w:p w14:paraId="17786179" w14:textId="45BEF1A8" w:rsidR="00DF54BE" w:rsidRDefault="00DF54BE" w:rsidP="00DF54BE">
      <w:pPr>
        <w:pStyle w:val="Default"/>
        <w:jc w:val="both"/>
        <w:rPr>
          <w:color w:val="auto"/>
          <w:sz w:val="22"/>
          <w:szCs w:val="22"/>
        </w:rPr>
      </w:pPr>
    </w:p>
    <w:p w14:paraId="4949A04F" w14:textId="77777777" w:rsidR="00DF54BE" w:rsidRPr="003212BB" w:rsidRDefault="00DF54BE" w:rsidP="00DF54BE">
      <w:pPr>
        <w:pStyle w:val="Default"/>
        <w:jc w:val="both"/>
        <w:rPr>
          <w:b/>
        </w:rPr>
      </w:pPr>
    </w:p>
    <w:sectPr w:rsidR="00DF54BE" w:rsidRPr="003212BB">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979A" w14:textId="77777777" w:rsidR="00557299" w:rsidRDefault="00557299" w:rsidP="00BD6F5A">
      <w:pPr>
        <w:spacing w:after="0" w:line="240" w:lineRule="auto"/>
      </w:pPr>
      <w:r>
        <w:separator/>
      </w:r>
    </w:p>
  </w:endnote>
  <w:endnote w:type="continuationSeparator" w:id="0">
    <w:p w14:paraId="52DCD3DC" w14:textId="77777777" w:rsidR="00557299" w:rsidRDefault="00557299" w:rsidP="00BD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E65F" w14:textId="78902C81" w:rsidR="00557299" w:rsidRPr="00FC0FEE" w:rsidRDefault="00557299" w:rsidP="001913B6">
    <w:pPr>
      <w:pStyle w:val="Zpat"/>
      <w:jc w:val="right"/>
      <w:rPr>
        <w:rFonts w:ascii="Arial" w:hAnsi="Arial" w:cs="Arial"/>
        <w:color w:val="02418A"/>
        <w:sz w:val="18"/>
        <w:szCs w:val="16"/>
      </w:rPr>
    </w:pPr>
    <w:r w:rsidRPr="00FC0FEE">
      <w:rPr>
        <w:rFonts w:ascii="Arial" w:hAnsi="Arial" w:cs="Arial"/>
        <w:color w:val="02418A"/>
        <w:sz w:val="18"/>
        <w:szCs w:val="16"/>
      </w:rPr>
      <w:t>KRAJSKÝ ÚŘAD KRAJE VYSOČINA</w:t>
    </w:r>
    <w:r>
      <w:rPr>
        <w:rFonts w:ascii="Arial" w:hAnsi="Arial" w:cs="Arial"/>
        <w:color w:val="02418A"/>
        <w:sz w:val="18"/>
        <w:szCs w:val="16"/>
      </w:rPr>
      <w:t xml:space="preserve"> </w:t>
    </w:r>
    <w:r w:rsidRPr="001913B6">
      <w:rPr>
        <w:rFonts w:ascii="Arial" w:hAnsi="Arial" w:cs="Arial"/>
        <w:color w:val="02418A"/>
        <w:sz w:val="18"/>
        <w:szCs w:val="16"/>
      </w:rPr>
      <w:ptab w:relativeTo="margin" w:alignment="center" w:leader="none"/>
    </w:r>
    <w:r w:rsidRPr="001913B6">
      <w:rPr>
        <w:rFonts w:ascii="Arial" w:hAnsi="Arial" w:cs="Arial"/>
        <w:color w:val="02418A"/>
        <w:sz w:val="18"/>
        <w:szCs w:val="16"/>
      </w:rPr>
      <w:ptab w:relativeTo="margin" w:alignment="right" w:leader="none"/>
    </w:r>
    <w:r w:rsidRPr="00DF65C6">
      <w:rPr>
        <w:rFonts w:ascii="Arial" w:hAnsi="Arial" w:cs="Arial"/>
        <w:sz w:val="18"/>
        <w:szCs w:val="16"/>
      </w:rPr>
      <w:t xml:space="preserve">Stránka </w:t>
    </w:r>
    <w:r w:rsidRPr="00DF65C6">
      <w:rPr>
        <w:rFonts w:ascii="Arial" w:hAnsi="Arial" w:cs="Arial"/>
        <w:b/>
        <w:bCs/>
        <w:sz w:val="18"/>
        <w:szCs w:val="16"/>
      </w:rPr>
      <w:fldChar w:fldCharType="begin"/>
    </w:r>
    <w:r w:rsidRPr="00DF65C6">
      <w:rPr>
        <w:rFonts w:ascii="Arial" w:hAnsi="Arial" w:cs="Arial"/>
        <w:b/>
        <w:bCs/>
        <w:sz w:val="18"/>
        <w:szCs w:val="16"/>
      </w:rPr>
      <w:instrText>PAGE  \* Arabic  \* MERGEFORMAT</w:instrText>
    </w:r>
    <w:r w:rsidRPr="00DF65C6">
      <w:rPr>
        <w:rFonts w:ascii="Arial" w:hAnsi="Arial" w:cs="Arial"/>
        <w:b/>
        <w:bCs/>
        <w:sz w:val="18"/>
        <w:szCs w:val="16"/>
      </w:rPr>
      <w:fldChar w:fldCharType="separate"/>
    </w:r>
    <w:r w:rsidR="008F1CB5">
      <w:rPr>
        <w:rFonts w:ascii="Arial" w:hAnsi="Arial" w:cs="Arial"/>
        <w:b/>
        <w:bCs/>
        <w:noProof/>
        <w:sz w:val="18"/>
        <w:szCs w:val="16"/>
      </w:rPr>
      <w:t>19</w:t>
    </w:r>
    <w:r w:rsidRPr="00DF65C6">
      <w:rPr>
        <w:rFonts w:ascii="Arial" w:hAnsi="Arial" w:cs="Arial"/>
        <w:b/>
        <w:bCs/>
        <w:sz w:val="18"/>
        <w:szCs w:val="16"/>
      </w:rPr>
      <w:fldChar w:fldCharType="end"/>
    </w:r>
    <w:r w:rsidRPr="00DF65C6">
      <w:rPr>
        <w:rFonts w:ascii="Arial" w:hAnsi="Arial" w:cs="Arial"/>
        <w:sz w:val="18"/>
        <w:szCs w:val="16"/>
      </w:rPr>
      <w:t xml:space="preserve"> z </w:t>
    </w:r>
    <w:r w:rsidRPr="00DF65C6">
      <w:rPr>
        <w:rFonts w:ascii="Arial" w:hAnsi="Arial" w:cs="Arial"/>
        <w:b/>
        <w:bCs/>
        <w:sz w:val="18"/>
        <w:szCs w:val="16"/>
      </w:rPr>
      <w:fldChar w:fldCharType="begin"/>
    </w:r>
    <w:r w:rsidRPr="00DF65C6">
      <w:rPr>
        <w:rFonts w:ascii="Arial" w:hAnsi="Arial" w:cs="Arial"/>
        <w:b/>
        <w:bCs/>
        <w:sz w:val="18"/>
        <w:szCs w:val="16"/>
      </w:rPr>
      <w:instrText>NUMPAGES  \* Arabic  \* MERGEFORMAT</w:instrText>
    </w:r>
    <w:r w:rsidRPr="00DF65C6">
      <w:rPr>
        <w:rFonts w:ascii="Arial" w:hAnsi="Arial" w:cs="Arial"/>
        <w:b/>
        <w:bCs/>
        <w:sz w:val="18"/>
        <w:szCs w:val="16"/>
      </w:rPr>
      <w:fldChar w:fldCharType="separate"/>
    </w:r>
    <w:r w:rsidR="008F1CB5">
      <w:rPr>
        <w:rFonts w:ascii="Arial" w:hAnsi="Arial" w:cs="Arial"/>
        <w:b/>
        <w:bCs/>
        <w:noProof/>
        <w:sz w:val="18"/>
        <w:szCs w:val="16"/>
      </w:rPr>
      <w:t>19</w:t>
    </w:r>
    <w:r w:rsidRPr="00DF65C6">
      <w:rPr>
        <w:rFonts w:ascii="Arial" w:hAnsi="Arial" w:cs="Arial"/>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9CA84" w14:textId="77777777" w:rsidR="00557299" w:rsidRDefault="00557299" w:rsidP="00BD6F5A">
      <w:pPr>
        <w:spacing w:after="0" w:line="240" w:lineRule="auto"/>
      </w:pPr>
      <w:r>
        <w:separator/>
      </w:r>
    </w:p>
  </w:footnote>
  <w:footnote w:type="continuationSeparator" w:id="0">
    <w:p w14:paraId="0D674F24" w14:textId="77777777" w:rsidR="00557299" w:rsidRDefault="00557299" w:rsidP="00BD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175A" w14:textId="1F01E7D4" w:rsidR="00557299" w:rsidRPr="002E7F14" w:rsidRDefault="00557299" w:rsidP="002E7F14">
    <w:pPr>
      <w:pStyle w:val="Zhlav"/>
      <w:jc w:val="right"/>
      <w:rPr>
        <w:i/>
      </w:rPr>
    </w:pPr>
    <w:r w:rsidRPr="00587C59">
      <w:rPr>
        <w:i/>
        <w:noProof/>
        <w:lang w:eastAsia="cs-CZ"/>
      </w:rPr>
      <w:drawing>
        <wp:anchor distT="0" distB="0" distL="114300" distR="114300" simplePos="0" relativeHeight="251658240" behindDoc="1" locked="0" layoutInCell="1" allowOverlap="1" wp14:anchorId="0E6E9564" wp14:editId="66223E10">
          <wp:simplePos x="0" y="0"/>
          <wp:positionH relativeFrom="margin">
            <wp:align>left</wp:align>
          </wp:positionH>
          <wp:positionV relativeFrom="paragraph">
            <wp:posOffset>-258992</wp:posOffset>
          </wp:positionV>
          <wp:extent cx="899795" cy="5086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508635"/>
                  </a:xfrm>
                  <a:prstGeom prst="rect">
                    <a:avLst/>
                  </a:prstGeom>
                </pic:spPr>
              </pic:pic>
            </a:graphicData>
          </a:graphic>
        </wp:anchor>
      </w:drawing>
    </w:r>
    <w:r w:rsidRPr="00587C59">
      <w:rPr>
        <w:i/>
      </w:rPr>
      <w:t xml:space="preserve"> </w:t>
    </w:r>
    <w:r w:rsidRPr="00E74FC7">
      <w:rPr>
        <w:i/>
        <w:noProof/>
        <w:lang w:eastAsia="cs-CZ"/>
      </w:rPr>
      <w:t xml:space="preserve">Seznam linek zapojených do VDV </w:t>
    </w:r>
    <w:r w:rsidRPr="00587C59">
      <w:rPr>
        <w:i/>
      </w:rPr>
      <w:t>–</w:t>
    </w:r>
    <w:r w:rsidRPr="002E7F14">
      <w:rPr>
        <w:i/>
      </w:rPr>
      <w:t xml:space="preserve"> PLATÍ OD </w:t>
    </w:r>
    <w:r w:rsidR="00FB709D">
      <w:rPr>
        <w:i/>
      </w:rPr>
      <w:t>1.</w:t>
    </w:r>
    <w:r w:rsidR="001C601A">
      <w:rPr>
        <w:i/>
      </w:rPr>
      <w:t>4</w:t>
    </w:r>
    <w:r w:rsidR="00FB709D">
      <w:rPr>
        <w:i/>
      </w:rPr>
      <w:t>.202</w:t>
    </w:r>
    <w:r w:rsidR="001C601A">
      <w:rPr>
        <w:i/>
      </w:rPr>
      <w:t>2</w:t>
    </w:r>
  </w:p>
  <w:p w14:paraId="649F2638" w14:textId="54142444" w:rsidR="00557299" w:rsidRPr="00A0723D" w:rsidRDefault="00557299">
    <w:pPr>
      <w:pStyle w:val="Zhlav"/>
      <w:jc w:val="right"/>
      <w:rPr>
        <w: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E1"/>
    <w:multiLevelType w:val="hybridMultilevel"/>
    <w:tmpl w:val="7A440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92754"/>
    <w:multiLevelType w:val="hybridMultilevel"/>
    <w:tmpl w:val="D8A84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C63A9"/>
    <w:multiLevelType w:val="multilevel"/>
    <w:tmpl w:val="497C8EAA"/>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764FB6"/>
    <w:multiLevelType w:val="multilevel"/>
    <w:tmpl w:val="3BE882B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A13785"/>
    <w:multiLevelType w:val="multilevel"/>
    <w:tmpl w:val="35520C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C62FC"/>
    <w:multiLevelType w:val="multilevel"/>
    <w:tmpl w:val="DF80C06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2906EA"/>
    <w:multiLevelType w:val="multilevel"/>
    <w:tmpl w:val="1518779E"/>
    <w:lvl w:ilvl="0">
      <w:start w:val="5"/>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F59E9"/>
    <w:multiLevelType w:val="multilevel"/>
    <w:tmpl w:val="DF80C06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8127D6"/>
    <w:multiLevelType w:val="hybridMultilevel"/>
    <w:tmpl w:val="8F4E4444"/>
    <w:lvl w:ilvl="0" w:tplc="7480E56E">
      <w:start w:val="1"/>
      <w:numFmt w:val="upperLetter"/>
      <w:pStyle w:val="Nadpis2"/>
      <w:lvlText w:val="%1)"/>
      <w:lvlJc w:val="left"/>
      <w:pPr>
        <w:ind w:left="1174" w:hanging="360"/>
      </w:pPr>
      <w:rPr>
        <w:rFonts w:hint="default"/>
      </w:rPr>
    </w:lvl>
    <w:lvl w:ilvl="1" w:tplc="04050019">
      <w:start w:val="1"/>
      <w:numFmt w:val="lowerLetter"/>
      <w:lvlText w:val="%2."/>
      <w:lvlJc w:val="left"/>
      <w:pPr>
        <w:ind w:left="1894" w:hanging="360"/>
      </w:pPr>
    </w:lvl>
    <w:lvl w:ilvl="2" w:tplc="0405001B">
      <w:start w:val="1"/>
      <w:numFmt w:val="lowerRoman"/>
      <w:lvlText w:val="%3."/>
      <w:lvlJc w:val="right"/>
      <w:pPr>
        <w:ind w:left="2614" w:hanging="180"/>
      </w:pPr>
    </w:lvl>
    <w:lvl w:ilvl="3" w:tplc="0405000F">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9" w15:restartNumberingAfterBreak="0">
    <w:nsid w:val="10A42080"/>
    <w:multiLevelType w:val="multilevel"/>
    <w:tmpl w:val="C778CB26"/>
    <w:lvl w:ilvl="0">
      <w:start w:val="5"/>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1A750E"/>
    <w:multiLevelType w:val="hybridMultilevel"/>
    <w:tmpl w:val="87D44274"/>
    <w:lvl w:ilvl="0" w:tplc="FC5E64CE">
      <w:start w:val="21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8D66C8"/>
    <w:multiLevelType w:val="hybridMultilevel"/>
    <w:tmpl w:val="B9F22D22"/>
    <w:lvl w:ilvl="0" w:tplc="0D306E60">
      <w:numFmt w:val="bullet"/>
      <w:lvlText w:val=""/>
      <w:lvlJc w:val="left"/>
      <w:pPr>
        <w:ind w:left="720" w:hanging="360"/>
      </w:pPr>
      <w:rPr>
        <w:rFonts w:ascii="SymbolMT" w:eastAsia="SymbolMT" w:hAnsi="ArialMT" w:cs="SymbolMT"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8C40D7"/>
    <w:multiLevelType w:val="multilevel"/>
    <w:tmpl w:val="8A7058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3876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D161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31CCA"/>
    <w:multiLevelType w:val="multilevel"/>
    <w:tmpl w:val="1DB624E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471AAA"/>
    <w:multiLevelType w:val="multilevel"/>
    <w:tmpl w:val="C1CC69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B4407"/>
    <w:multiLevelType w:val="hybridMultilevel"/>
    <w:tmpl w:val="9DE01722"/>
    <w:lvl w:ilvl="0" w:tplc="D6F637F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BB1D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D31B39"/>
    <w:multiLevelType w:val="hybridMultilevel"/>
    <w:tmpl w:val="C2445350"/>
    <w:lvl w:ilvl="0" w:tplc="0D306E60">
      <w:numFmt w:val="bullet"/>
      <w:lvlText w:val=""/>
      <w:lvlJc w:val="left"/>
      <w:pPr>
        <w:ind w:left="720" w:hanging="360"/>
      </w:pPr>
      <w:rPr>
        <w:rFonts w:ascii="SymbolMT" w:eastAsia="SymbolMT" w:hAnsi="ArialMT" w:cs="SymbolMT"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A716BA"/>
    <w:multiLevelType w:val="multilevel"/>
    <w:tmpl w:val="12EAF314"/>
    <w:lvl w:ilvl="0">
      <w:start w:val="1"/>
      <w:numFmt w:val="upperRoman"/>
      <w:lvlText w:val="%1."/>
      <w:lvlJc w:val="right"/>
      <w:pPr>
        <w:tabs>
          <w:tab w:val="num" w:pos="567"/>
        </w:tabs>
        <w:ind w:left="567" w:hanging="113"/>
      </w:pPr>
      <w:rPr>
        <w:rFonts w:hint="default"/>
      </w:rPr>
    </w:lvl>
    <w:lvl w:ilvl="1">
      <w:start w:val="1"/>
      <w:numFmt w:val="decimal"/>
      <w:lvlText w:val="%2."/>
      <w:lvlJc w:val="right"/>
      <w:pPr>
        <w:tabs>
          <w:tab w:val="num" w:pos="567"/>
        </w:tabs>
        <w:ind w:left="567" w:hanging="57"/>
      </w:pPr>
      <w:rPr>
        <w:rFonts w:hint="default"/>
      </w:rPr>
    </w:lvl>
    <w:lvl w:ilvl="2">
      <w:start w:val="1"/>
      <w:numFmt w:val="lowerLetter"/>
      <w:lvlText w:val="%3)"/>
      <w:lvlJc w:val="right"/>
      <w:pPr>
        <w:tabs>
          <w:tab w:val="num" w:pos="964"/>
        </w:tabs>
        <w:ind w:left="964" w:hanging="113"/>
      </w:pPr>
      <w:rPr>
        <w:rFonts w:hint="default"/>
      </w:rPr>
    </w:lvl>
    <w:lvl w:ilvl="3">
      <w:start w:val="1"/>
      <w:numFmt w:val="lowerLetter"/>
      <w:lvlText w:val="%3%4)"/>
      <w:lvlJc w:val="right"/>
      <w:pPr>
        <w:tabs>
          <w:tab w:val="num" w:pos="1247"/>
        </w:tabs>
        <w:ind w:left="1247" w:hanging="113"/>
      </w:pPr>
      <w:rPr>
        <w:rFonts w:hint="default"/>
      </w:rPr>
    </w:lvl>
    <w:lvl w:ilvl="4">
      <w:start w:val="1"/>
      <w:numFmt w:val="bullet"/>
      <w:lvlText w:val=""/>
      <w:lvlJc w:val="left"/>
      <w:pPr>
        <w:tabs>
          <w:tab w:val="num" w:pos="964"/>
        </w:tabs>
        <w:ind w:left="964" w:hanging="227"/>
      </w:pPr>
      <w:rPr>
        <w:rFonts w:ascii="Symbol" w:hAnsi="Symbol" w:hint="default"/>
        <w:sz w:val="20"/>
      </w:rPr>
    </w:lvl>
    <w:lvl w:ilvl="5">
      <w:start w:val="1"/>
      <w:numFmt w:val="bullet"/>
      <w:lvlText w:val=""/>
      <w:lvlJc w:val="left"/>
      <w:pPr>
        <w:tabs>
          <w:tab w:val="num" w:pos="1247"/>
        </w:tabs>
        <w:ind w:left="1247" w:hanging="226"/>
      </w:pPr>
      <w:rPr>
        <w:rFonts w:ascii="Symbol" w:hAnsi="Symbol" w:hint="default"/>
        <w:sz w:val="20"/>
      </w:rPr>
    </w:lvl>
    <w:lvl w:ilvl="6">
      <w:start w:val="1"/>
      <w:numFmt w:val="none"/>
      <w:lvlText w:val="%7"/>
      <w:lvlJc w:val="right"/>
      <w:pPr>
        <w:tabs>
          <w:tab w:val="num" w:pos="567"/>
        </w:tabs>
        <w:ind w:left="567" w:hanging="57"/>
      </w:pPr>
      <w:rPr>
        <w:rFonts w:hint="default"/>
      </w:rPr>
    </w:lvl>
    <w:lvl w:ilvl="7">
      <w:start w:val="1"/>
      <w:numFmt w:val="none"/>
      <w:lvlText w:val="%8"/>
      <w:lvlJc w:val="right"/>
      <w:pPr>
        <w:tabs>
          <w:tab w:val="num" w:pos="964"/>
        </w:tabs>
        <w:ind w:left="964" w:hanging="113"/>
      </w:pPr>
      <w:rPr>
        <w:rFonts w:hint="default"/>
      </w:rPr>
    </w:lvl>
    <w:lvl w:ilvl="8">
      <w:start w:val="1"/>
      <w:numFmt w:val="none"/>
      <w:lvlText w:val="%9"/>
      <w:lvlJc w:val="left"/>
      <w:pPr>
        <w:tabs>
          <w:tab w:val="num" w:pos="1247"/>
        </w:tabs>
        <w:ind w:left="1247" w:hanging="113"/>
      </w:pPr>
      <w:rPr>
        <w:rFonts w:hint="default"/>
      </w:rPr>
    </w:lvl>
  </w:abstractNum>
  <w:abstractNum w:abstractNumId="21" w15:restartNumberingAfterBreak="0">
    <w:nsid w:val="38F83844"/>
    <w:multiLevelType w:val="multilevel"/>
    <w:tmpl w:val="62E2E00E"/>
    <w:lvl w:ilvl="0">
      <w:start w:val="5"/>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F74283"/>
    <w:multiLevelType w:val="multilevel"/>
    <w:tmpl w:val="DF80C060"/>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890DC0"/>
    <w:multiLevelType w:val="multilevel"/>
    <w:tmpl w:val="39E6B1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B74C22"/>
    <w:multiLevelType w:val="multilevel"/>
    <w:tmpl w:val="365CF4EC"/>
    <w:lvl w:ilvl="0">
      <w:start w:val="5"/>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none"/>
      <w:lvlText w:val="5.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D7150D"/>
    <w:multiLevelType w:val="multilevel"/>
    <w:tmpl w:val="9246EEE0"/>
    <w:lvl w:ilvl="0">
      <w:start w:val="1"/>
      <w:numFmt w:val="decimal"/>
      <w:lvlText w:val="%1."/>
      <w:lvlJc w:val="left"/>
      <w:pPr>
        <w:ind w:left="480" w:hanging="48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6" w15:restartNumberingAfterBreak="0">
    <w:nsid w:val="499767AC"/>
    <w:multiLevelType w:val="multilevel"/>
    <w:tmpl w:val="3BE882B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83408D"/>
    <w:multiLevelType w:val="multilevel"/>
    <w:tmpl w:val="3BE882B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E24FDD"/>
    <w:multiLevelType w:val="multilevel"/>
    <w:tmpl w:val="497C8EAA"/>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2126AC"/>
    <w:multiLevelType w:val="multilevel"/>
    <w:tmpl w:val="3BE882B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9E43FF"/>
    <w:multiLevelType w:val="hybridMultilevel"/>
    <w:tmpl w:val="F68AC384"/>
    <w:lvl w:ilvl="0" w:tplc="451CB7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C43A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A2679"/>
    <w:multiLevelType w:val="multilevel"/>
    <w:tmpl w:val="4A8409F6"/>
    <w:lvl w:ilvl="0">
      <w:start w:val="5"/>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451C6"/>
    <w:multiLevelType w:val="hybridMultilevel"/>
    <w:tmpl w:val="C5ACEBF0"/>
    <w:lvl w:ilvl="0" w:tplc="E080474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342F21"/>
    <w:multiLevelType w:val="multilevel"/>
    <w:tmpl w:val="FA4E429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E611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684FFC"/>
    <w:multiLevelType w:val="multilevel"/>
    <w:tmpl w:val="497C8EAA"/>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6A18BF"/>
    <w:multiLevelType w:val="multilevel"/>
    <w:tmpl w:val="C778CB26"/>
    <w:lvl w:ilvl="0">
      <w:start w:val="5"/>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EA2740"/>
    <w:multiLevelType w:val="multilevel"/>
    <w:tmpl w:val="3BE882B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D056A4"/>
    <w:multiLevelType w:val="multilevel"/>
    <w:tmpl w:val="A39AFE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0"/>
  </w:num>
  <w:num w:numId="3">
    <w:abstractNumId w:val="19"/>
  </w:num>
  <w:num w:numId="4">
    <w:abstractNumId w:val="11"/>
  </w:num>
  <w:num w:numId="5">
    <w:abstractNumId w:val="25"/>
  </w:num>
  <w:num w:numId="6">
    <w:abstractNumId w:val="15"/>
  </w:num>
  <w:num w:numId="7">
    <w:abstractNumId w:val="12"/>
  </w:num>
  <w:num w:numId="8">
    <w:abstractNumId w:val="4"/>
  </w:num>
  <w:num w:numId="9">
    <w:abstractNumId w:val="23"/>
  </w:num>
  <w:num w:numId="10">
    <w:abstractNumId w:val="27"/>
  </w:num>
  <w:num w:numId="11">
    <w:abstractNumId w:val="3"/>
  </w:num>
  <w:num w:numId="12">
    <w:abstractNumId w:val="26"/>
  </w:num>
  <w:num w:numId="13">
    <w:abstractNumId w:val="1"/>
  </w:num>
  <w:num w:numId="14">
    <w:abstractNumId w:val="29"/>
  </w:num>
  <w:num w:numId="15">
    <w:abstractNumId w:val="38"/>
  </w:num>
  <w:num w:numId="16">
    <w:abstractNumId w:val="18"/>
  </w:num>
  <w:num w:numId="17">
    <w:abstractNumId w:val="28"/>
  </w:num>
  <w:num w:numId="18">
    <w:abstractNumId w:val="36"/>
  </w:num>
  <w:num w:numId="19">
    <w:abstractNumId w:val="2"/>
  </w:num>
  <w:num w:numId="20">
    <w:abstractNumId w:val="7"/>
  </w:num>
  <w:num w:numId="21">
    <w:abstractNumId w:val="7"/>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7"/>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7"/>
    <w:lvlOverride w:ilvl="0">
      <w:lvl w:ilvl="0">
        <w:start w:val="5"/>
        <w:numFmt w:val="decimal"/>
        <w:lvlText w:val="%1.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2"/>
  </w:num>
  <w:num w:numId="25">
    <w:abstractNumId w:val="5"/>
  </w:num>
  <w:num w:numId="26">
    <w:abstractNumId w:val="16"/>
  </w:num>
  <w:num w:numId="27">
    <w:abstractNumId w:val="37"/>
  </w:num>
  <w:num w:numId="28">
    <w:abstractNumId w:val="9"/>
  </w:num>
  <w:num w:numId="29">
    <w:abstractNumId w:val="6"/>
  </w:num>
  <w:num w:numId="30">
    <w:abstractNumId w:val="32"/>
  </w:num>
  <w:num w:numId="31">
    <w:abstractNumId w:val="24"/>
  </w:num>
  <w:num w:numId="32">
    <w:abstractNumId w:val="21"/>
  </w:num>
  <w:num w:numId="33">
    <w:abstractNumId w:val="13"/>
  </w:num>
  <w:num w:numId="34">
    <w:abstractNumId w:val="14"/>
  </w:num>
  <w:num w:numId="35">
    <w:abstractNumId w:val="31"/>
  </w:num>
  <w:num w:numId="36">
    <w:abstractNumId w:val="34"/>
  </w:num>
  <w:num w:numId="37">
    <w:abstractNumId w:val="35"/>
  </w:num>
  <w:num w:numId="38">
    <w:abstractNumId w:val="39"/>
  </w:num>
  <w:num w:numId="39">
    <w:abstractNumId w:val="33"/>
  </w:num>
  <w:num w:numId="40">
    <w:abstractNumId w:val="17"/>
  </w:num>
  <w:num w:numId="41">
    <w:abstractNumId w:val="10"/>
  </w:num>
  <w:num w:numId="42">
    <w:abstractNumId w:val="2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C0"/>
    <w:rsid w:val="00011E4A"/>
    <w:rsid w:val="00030131"/>
    <w:rsid w:val="0003658B"/>
    <w:rsid w:val="00040737"/>
    <w:rsid w:val="00041A45"/>
    <w:rsid w:val="00045F77"/>
    <w:rsid w:val="00055436"/>
    <w:rsid w:val="00061CED"/>
    <w:rsid w:val="00077855"/>
    <w:rsid w:val="00087CB7"/>
    <w:rsid w:val="000919D2"/>
    <w:rsid w:val="000B1CF4"/>
    <w:rsid w:val="000C178B"/>
    <w:rsid w:val="000C5BE6"/>
    <w:rsid w:val="00106E70"/>
    <w:rsid w:val="0011195E"/>
    <w:rsid w:val="00124B1A"/>
    <w:rsid w:val="001256DF"/>
    <w:rsid w:val="00141045"/>
    <w:rsid w:val="00142E3F"/>
    <w:rsid w:val="00143B81"/>
    <w:rsid w:val="001458E2"/>
    <w:rsid w:val="00146AC4"/>
    <w:rsid w:val="00155AE2"/>
    <w:rsid w:val="00157BAA"/>
    <w:rsid w:val="00165D63"/>
    <w:rsid w:val="00171C0A"/>
    <w:rsid w:val="00173F97"/>
    <w:rsid w:val="0018318F"/>
    <w:rsid w:val="001913B6"/>
    <w:rsid w:val="001913C7"/>
    <w:rsid w:val="0019384C"/>
    <w:rsid w:val="00197914"/>
    <w:rsid w:val="001A5484"/>
    <w:rsid w:val="001B0085"/>
    <w:rsid w:val="001C04AC"/>
    <w:rsid w:val="001C601A"/>
    <w:rsid w:val="001D0CFD"/>
    <w:rsid w:val="001F46AA"/>
    <w:rsid w:val="001F567E"/>
    <w:rsid w:val="00204305"/>
    <w:rsid w:val="00207875"/>
    <w:rsid w:val="002364E0"/>
    <w:rsid w:val="002367A0"/>
    <w:rsid w:val="002376AF"/>
    <w:rsid w:val="0024282B"/>
    <w:rsid w:val="00246453"/>
    <w:rsid w:val="00247A60"/>
    <w:rsid w:val="00266F08"/>
    <w:rsid w:val="00274E7B"/>
    <w:rsid w:val="00285B2C"/>
    <w:rsid w:val="00290B54"/>
    <w:rsid w:val="002C14B7"/>
    <w:rsid w:val="002C633B"/>
    <w:rsid w:val="002E7F14"/>
    <w:rsid w:val="003036D8"/>
    <w:rsid w:val="003212BB"/>
    <w:rsid w:val="00333195"/>
    <w:rsid w:val="003650E1"/>
    <w:rsid w:val="00371AD5"/>
    <w:rsid w:val="003B591C"/>
    <w:rsid w:val="003C28F6"/>
    <w:rsid w:val="003C34B3"/>
    <w:rsid w:val="003D6F57"/>
    <w:rsid w:val="00400F44"/>
    <w:rsid w:val="0040638D"/>
    <w:rsid w:val="00406AD2"/>
    <w:rsid w:val="00410383"/>
    <w:rsid w:val="00412F02"/>
    <w:rsid w:val="0042014D"/>
    <w:rsid w:val="0042352A"/>
    <w:rsid w:val="004267DF"/>
    <w:rsid w:val="00431D6C"/>
    <w:rsid w:val="00443967"/>
    <w:rsid w:val="00462F20"/>
    <w:rsid w:val="00464DCD"/>
    <w:rsid w:val="00471A8C"/>
    <w:rsid w:val="00473A81"/>
    <w:rsid w:val="0047412B"/>
    <w:rsid w:val="004876D3"/>
    <w:rsid w:val="00492E19"/>
    <w:rsid w:val="00493209"/>
    <w:rsid w:val="004942EE"/>
    <w:rsid w:val="00497CA1"/>
    <w:rsid w:val="004A228C"/>
    <w:rsid w:val="004B0DEC"/>
    <w:rsid w:val="004B1F3B"/>
    <w:rsid w:val="004D69BB"/>
    <w:rsid w:val="004E3FB0"/>
    <w:rsid w:val="004F0806"/>
    <w:rsid w:val="004F3039"/>
    <w:rsid w:val="004F41A5"/>
    <w:rsid w:val="00524A7D"/>
    <w:rsid w:val="00527817"/>
    <w:rsid w:val="00537443"/>
    <w:rsid w:val="0054522F"/>
    <w:rsid w:val="0055186B"/>
    <w:rsid w:val="00554A80"/>
    <w:rsid w:val="00557299"/>
    <w:rsid w:val="00562178"/>
    <w:rsid w:val="0056473D"/>
    <w:rsid w:val="00570553"/>
    <w:rsid w:val="005715E0"/>
    <w:rsid w:val="00580F8B"/>
    <w:rsid w:val="0058595A"/>
    <w:rsid w:val="00587C59"/>
    <w:rsid w:val="005923B9"/>
    <w:rsid w:val="00594B97"/>
    <w:rsid w:val="005975D9"/>
    <w:rsid w:val="005A5812"/>
    <w:rsid w:val="005B2FCF"/>
    <w:rsid w:val="005C0FC1"/>
    <w:rsid w:val="005C34AE"/>
    <w:rsid w:val="005C7874"/>
    <w:rsid w:val="005D4F0F"/>
    <w:rsid w:val="005E015E"/>
    <w:rsid w:val="005F653F"/>
    <w:rsid w:val="00606E28"/>
    <w:rsid w:val="00630C9D"/>
    <w:rsid w:val="0063226D"/>
    <w:rsid w:val="00633469"/>
    <w:rsid w:val="006357DA"/>
    <w:rsid w:val="00645619"/>
    <w:rsid w:val="00654F38"/>
    <w:rsid w:val="00664A64"/>
    <w:rsid w:val="0067739E"/>
    <w:rsid w:val="006820E0"/>
    <w:rsid w:val="00684171"/>
    <w:rsid w:val="0068451E"/>
    <w:rsid w:val="006846B6"/>
    <w:rsid w:val="00690F4A"/>
    <w:rsid w:val="00694119"/>
    <w:rsid w:val="006B3F84"/>
    <w:rsid w:val="006C137A"/>
    <w:rsid w:val="006C1935"/>
    <w:rsid w:val="006C5D1A"/>
    <w:rsid w:val="006D3F36"/>
    <w:rsid w:val="006D770D"/>
    <w:rsid w:val="006E7226"/>
    <w:rsid w:val="006F3EC6"/>
    <w:rsid w:val="006F3F36"/>
    <w:rsid w:val="0070084A"/>
    <w:rsid w:val="00702FB1"/>
    <w:rsid w:val="00704CDC"/>
    <w:rsid w:val="00706AC8"/>
    <w:rsid w:val="0071467F"/>
    <w:rsid w:val="00715F47"/>
    <w:rsid w:val="00721024"/>
    <w:rsid w:val="00740989"/>
    <w:rsid w:val="007447AC"/>
    <w:rsid w:val="007473DD"/>
    <w:rsid w:val="0076344D"/>
    <w:rsid w:val="00764D90"/>
    <w:rsid w:val="007858AD"/>
    <w:rsid w:val="0078627B"/>
    <w:rsid w:val="00790861"/>
    <w:rsid w:val="0079310D"/>
    <w:rsid w:val="007944EC"/>
    <w:rsid w:val="00795D75"/>
    <w:rsid w:val="007A32B1"/>
    <w:rsid w:val="007A6B0A"/>
    <w:rsid w:val="007B4C75"/>
    <w:rsid w:val="007E0482"/>
    <w:rsid w:val="007F699B"/>
    <w:rsid w:val="007F72A6"/>
    <w:rsid w:val="00802E12"/>
    <w:rsid w:val="00804CF1"/>
    <w:rsid w:val="00805080"/>
    <w:rsid w:val="00806466"/>
    <w:rsid w:val="008143B2"/>
    <w:rsid w:val="0081632D"/>
    <w:rsid w:val="0082176D"/>
    <w:rsid w:val="00827BEB"/>
    <w:rsid w:val="008322DB"/>
    <w:rsid w:val="00851728"/>
    <w:rsid w:val="00861E84"/>
    <w:rsid w:val="00863B2F"/>
    <w:rsid w:val="00873E33"/>
    <w:rsid w:val="00877123"/>
    <w:rsid w:val="008830EE"/>
    <w:rsid w:val="00883ABE"/>
    <w:rsid w:val="00891CB0"/>
    <w:rsid w:val="00897B6C"/>
    <w:rsid w:val="008A25F0"/>
    <w:rsid w:val="008A4A08"/>
    <w:rsid w:val="008A5BB2"/>
    <w:rsid w:val="008B099B"/>
    <w:rsid w:val="008B2114"/>
    <w:rsid w:val="008E6F28"/>
    <w:rsid w:val="008E774F"/>
    <w:rsid w:val="008F1CB5"/>
    <w:rsid w:val="008F4128"/>
    <w:rsid w:val="008F4A7D"/>
    <w:rsid w:val="00906D54"/>
    <w:rsid w:val="00906EF0"/>
    <w:rsid w:val="00916900"/>
    <w:rsid w:val="00921DAC"/>
    <w:rsid w:val="0092422A"/>
    <w:rsid w:val="00925D77"/>
    <w:rsid w:val="0093072E"/>
    <w:rsid w:val="00937217"/>
    <w:rsid w:val="009406C9"/>
    <w:rsid w:val="0095354F"/>
    <w:rsid w:val="009546A2"/>
    <w:rsid w:val="00955E80"/>
    <w:rsid w:val="0097452D"/>
    <w:rsid w:val="0097580B"/>
    <w:rsid w:val="0099197C"/>
    <w:rsid w:val="009A3555"/>
    <w:rsid w:val="009B4A44"/>
    <w:rsid w:val="009C2B9F"/>
    <w:rsid w:val="009C3801"/>
    <w:rsid w:val="009C3965"/>
    <w:rsid w:val="009D69C8"/>
    <w:rsid w:val="009E4443"/>
    <w:rsid w:val="009E4A6E"/>
    <w:rsid w:val="009E7C98"/>
    <w:rsid w:val="009F3ABD"/>
    <w:rsid w:val="00A010A7"/>
    <w:rsid w:val="00A0723D"/>
    <w:rsid w:val="00A27B9B"/>
    <w:rsid w:val="00A368D4"/>
    <w:rsid w:val="00A5569B"/>
    <w:rsid w:val="00A627B8"/>
    <w:rsid w:val="00AA15D0"/>
    <w:rsid w:val="00AA3121"/>
    <w:rsid w:val="00AB4FA2"/>
    <w:rsid w:val="00AC3588"/>
    <w:rsid w:val="00AD28D1"/>
    <w:rsid w:val="00AE7374"/>
    <w:rsid w:val="00AE7F35"/>
    <w:rsid w:val="00AF7DD2"/>
    <w:rsid w:val="00B02B58"/>
    <w:rsid w:val="00B049EC"/>
    <w:rsid w:val="00B22B44"/>
    <w:rsid w:val="00B244E8"/>
    <w:rsid w:val="00B32ACA"/>
    <w:rsid w:val="00B44195"/>
    <w:rsid w:val="00B55857"/>
    <w:rsid w:val="00B56D8F"/>
    <w:rsid w:val="00B57356"/>
    <w:rsid w:val="00B8603F"/>
    <w:rsid w:val="00BA46F9"/>
    <w:rsid w:val="00BA7DDA"/>
    <w:rsid w:val="00BB5615"/>
    <w:rsid w:val="00BB6DA5"/>
    <w:rsid w:val="00BC093B"/>
    <w:rsid w:val="00BC44C5"/>
    <w:rsid w:val="00BD6F5A"/>
    <w:rsid w:val="00BE297F"/>
    <w:rsid w:val="00BE4A8A"/>
    <w:rsid w:val="00BF123E"/>
    <w:rsid w:val="00C04205"/>
    <w:rsid w:val="00C10A87"/>
    <w:rsid w:val="00C16C2E"/>
    <w:rsid w:val="00C17B3D"/>
    <w:rsid w:val="00C21DCD"/>
    <w:rsid w:val="00C225C6"/>
    <w:rsid w:val="00C409C9"/>
    <w:rsid w:val="00C43F54"/>
    <w:rsid w:val="00C45823"/>
    <w:rsid w:val="00C46A95"/>
    <w:rsid w:val="00C47F2B"/>
    <w:rsid w:val="00C5606B"/>
    <w:rsid w:val="00C6229D"/>
    <w:rsid w:val="00C64087"/>
    <w:rsid w:val="00C641B6"/>
    <w:rsid w:val="00CA608D"/>
    <w:rsid w:val="00CB239B"/>
    <w:rsid w:val="00CD1B23"/>
    <w:rsid w:val="00CD44A0"/>
    <w:rsid w:val="00CE6BB5"/>
    <w:rsid w:val="00CE799B"/>
    <w:rsid w:val="00CF797B"/>
    <w:rsid w:val="00D01B4A"/>
    <w:rsid w:val="00D02562"/>
    <w:rsid w:val="00D26059"/>
    <w:rsid w:val="00D4315A"/>
    <w:rsid w:val="00D43803"/>
    <w:rsid w:val="00D56079"/>
    <w:rsid w:val="00D61FCE"/>
    <w:rsid w:val="00D81906"/>
    <w:rsid w:val="00D8575D"/>
    <w:rsid w:val="00D86FC0"/>
    <w:rsid w:val="00D956CC"/>
    <w:rsid w:val="00D976AC"/>
    <w:rsid w:val="00DA65CB"/>
    <w:rsid w:val="00DB1D84"/>
    <w:rsid w:val="00DB326B"/>
    <w:rsid w:val="00DD52FA"/>
    <w:rsid w:val="00DD5C12"/>
    <w:rsid w:val="00DD7D43"/>
    <w:rsid w:val="00DE0782"/>
    <w:rsid w:val="00DE0794"/>
    <w:rsid w:val="00DF54BE"/>
    <w:rsid w:val="00DF65C6"/>
    <w:rsid w:val="00DF6FBC"/>
    <w:rsid w:val="00DF77BF"/>
    <w:rsid w:val="00E01E56"/>
    <w:rsid w:val="00E04E77"/>
    <w:rsid w:val="00E07131"/>
    <w:rsid w:val="00E14025"/>
    <w:rsid w:val="00E25A92"/>
    <w:rsid w:val="00E36B71"/>
    <w:rsid w:val="00E418FA"/>
    <w:rsid w:val="00E45125"/>
    <w:rsid w:val="00E45E85"/>
    <w:rsid w:val="00E540D1"/>
    <w:rsid w:val="00E609AB"/>
    <w:rsid w:val="00E6254E"/>
    <w:rsid w:val="00E71BD6"/>
    <w:rsid w:val="00E74FC7"/>
    <w:rsid w:val="00E7521E"/>
    <w:rsid w:val="00E93543"/>
    <w:rsid w:val="00EA22D4"/>
    <w:rsid w:val="00EB2EDE"/>
    <w:rsid w:val="00EB3D7D"/>
    <w:rsid w:val="00EB7752"/>
    <w:rsid w:val="00EB7D9D"/>
    <w:rsid w:val="00ED0305"/>
    <w:rsid w:val="00EF0AF1"/>
    <w:rsid w:val="00EF2A1E"/>
    <w:rsid w:val="00EF6980"/>
    <w:rsid w:val="00F01966"/>
    <w:rsid w:val="00F05902"/>
    <w:rsid w:val="00F12BF2"/>
    <w:rsid w:val="00F15725"/>
    <w:rsid w:val="00F25415"/>
    <w:rsid w:val="00F26466"/>
    <w:rsid w:val="00F334AE"/>
    <w:rsid w:val="00F40CB5"/>
    <w:rsid w:val="00F47EB8"/>
    <w:rsid w:val="00F53AFA"/>
    <w:rsid w:val="00F904C6"/>
    <w:rsid w:val="00F93BC6"/>
    <w:rsid w:val="00F97980"/>
    <w:rsid w:val="00FA28E6"/>
    <w:rsid w:val="00FA2988"/>
    <w:rsid w:val="00FA7572"/>
    <w:rsid w:val="00FB36F7"/>
    <w:rsid w:val="00FB709D"/>
    <w:rsid w:val="00FD2662"/>
    <w:rsid w:val="00FD5789"/>
    <w:rsid w:val="00FE0A69"/>
    <w:rsid w:val="00FE540C"/>
    <w:rsid w:val="00FE5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2BE30C"/>
  <w15:chartTrackingRefBased/>
  <w15:docId w15:val="{E6EBE939-FF1F-4B33-9030-DA00D626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51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9"/>
    <w:qFormat/>
    <w:rsid w:val="0055186B"/>
    <w:pPr>
      <w:keepLines w:val="0"/>
      <w:numPr>
        <w:numId w:val="43"/>
      </w:numPr>
      <w:tabs>
        <w:tab w:val="right" w:leader="dot" w:pos="9639"/>
      </w:tabs>
      <w:spacing w:before="160" w:after="80" w:line="240" w:lineRule="auto"/>
      <w:ind w:left="567" w:hanging="454"/>
      <w:jc w:val="both"/>
      <w:outlineLvl w:val="1"/>
    </w:pPr>
    <w:rPr>
      <w:rFonts w:ascii="Arial" w:eastAsia="Times New Roman" w:hAnsi="Arial" w:cs="Arial"/>
      <w:b/>
      <w:bCs/>
      <w:color w:val="auto"/>
      <w:sz w:val="24"/>
      <w:szCs w:val="2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55E80"/>
    <w:rPr>
      <w:sz w:val="16"/>
      <w:szCs w:val="16"/>
    </w:rPr>
  </w:style>
  <w:style w:type="paragraph" w:styleId="Textkomente">
    <w:name w:val="annotation text"/>
    <w:basedOn w:val="Normln"/>
    <w:link w:val="TextkomenteChar"/>
    <w:uiPriority w:val="99"/>
    <w:semiHidden/>
    <w:unhideWhenUsed/>
    <w:rsid w:val="00955E80"/>
    <w:pPr>
      <w:spacing w:line="240" w:lineRule="auto"/>
    </w:pPr>
    <w:rPr>
      <w:sz w:val="20"/>
      <w:szCs w:val="20"/>
    </w:rPr>
  </w:style>
  <w:style w:type="character" w:customStyle="1" w:styleId="TextkomenteChar">
    <w:name w:val="Text komentáře Char"/>
    <w:basedOn w:val="Standardnpsmoodstavce"/>
    <w:link w:val="Textkomente"/>
    <w:uiPriority w:val="99"/>
    <w:semiHidden/>
    <w:rsid w:val="00955E80"/>
    <w:rPr>
      <w:sz w:val="20"/>
      <w:szCs w:val="20"/>
    </w:rPr>
  </w:style>
  <w:style w:type="paragraph" w:styleId="Pedmtkomente">
    <w:name w:val="annotation subject"/>
    <w:basedOn w:val="Textkomente"/>
    <w:next w:val="Textkomente"/>
    <w:link w:val="PedmtkomenteChar"/>
    <w:uiPriority w:val="99"/>
    <w:semiHidden/>
    <w:unhideWhenUsed/>
    <w:rsid w:val="00955E80"/>
    <w:rPr>
      <w:b/>
      <w:bCs/>
    </w:rPr>
  </w:style>
  <w:style w:type="character" w:customStyle="1" w:styleId="PedmtkomenteChar">
    <w:name w:val="Předmět komentáře Char"/>
    <w:basedOn w:val="TextkomenteChar"/>
    <w:link w:val="Pedmtkomente"/>
    <w:uiPriority w:val="99"/>
    <w:semiHidden/>
    <w:rsid w:val="00955E80"/>
    <w:rPr>
      <w:b/>
      <w:bCs/>
      <w:sz w:val="20"/>
      <w:szCs w:val="20"/>
    </w:rPr>
  </w:style>
  <w:style w:type="paragraph" w:styleId="Textbubliny">
    <w:name w:val="Balloon Text"/>
    <w:basedOn w:val="Normln"/>
    <w:link w:val="TextbublinyChar"/>
    <w:uiPriority w:val="99"/>
    <w:semiHidden/>
    <w:unhideWhenUsed/>
    <w:rsid w:val="00955E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5E80"/>
    <w:rPr>
      <w:rFonts w:ascii="Segoe UI" w:hAnsi="Segoe UI" w:cs="Segoe UI"/>
      <w:sz w:val="18"/>
      <w:szCs w:val="18"/>
    </w:rPr>
  </w:style>
  <w:style w:type="character" w:styleId="Hypertextovodkaz">
    <w:name w:val="Hyperlink"/>
    <w:basedOn w:val="Standardnpsmoodstavce"/>
    <w:uiPriority w:val="99"/>
    <w:unhideWhenUsed/>
    <w:rsid w:val="005923B9"/>
    <w:rPr>
      <w:color w:val="0563C1" w:themeColor="hyperlink"/>
      <w:u w:val="single"/>
    </w:rPr>
  </w:style>
  <w:style w:type="character" w:styleId="Sledovanodkaz">
    <w:name w:val="FollowedHyperlink"/>
    <w:basedOn w:val="Standardnpsmoodstavce"/>
    <w:uiPriority w:val="99"/>
    <w:semiHidden/>
    <w:unhideWhenUsed/>
    <w:rsid w:val="00BC093B"/>
    <w:rPr>
      <w:color w:val="954F72" w:themeColor="followedHyperlink"/>
      <w:u w:val="single"/>
    </w:rPr>
  </w:style>
  <w:style w:type="paragraph" w:styleId="Odstavecseseznamem">
    <w:name w:val="List Paragraph"/>
    <w:basedOn w:val="Normln"/>
    <w:uiPriority w:val="34"/>
    <w:qFormat/>
    <w:rsid w:val="006D3F36"/>
    <w:pPr>
      <w:ind w:left="720"/>
      <w:contextualSpacing/>
    </w:pPr>
  </w:style>
  <w:style w:type="paragraph" w:styleId="Zhlav">
    <w:name w:val="header"/>
    <w:basedOn w:val="Normln"/>
    <w:link w:val="ZhlavChar"/>
    <w:uiPriority w:val="99"/>
    <w:unhideWhenUsed/>
    <w:rsid w:val="00BD6F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6F5A"/>
  </w:style>
  <w:style w:type="paragraph" w:styleId="Zpat">
    <w:name w:val="footer"/>
    <w:basedOn w:val="Normln"/>
    <w:link w:val="ZpatChar"/>
    <w:uiPriority w:val="99"/>
    <w:unhideWhenUsed/>
    <w:rsid w:val="00BD6F5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6F5A"/>
  </w:style>
  <w:style w:type="character" w:styleId="Zstupntext">
    <w:name w:val="Placeholder Text"/>
    <w:basedOn w:val="Standardnpsmoodstavce"/>
    <w:uiPriority w:val="99"/>
    <w:semiHidden/>
    <w:rsid w:val="001913B6"/>
    <w:rPr>
      <w:color w:val="808080"/>
    </w:rPr>
  </w:style>
  <w:style w:type="paragraph" w:customStyle="1" w:styleId="Default">
    <w:name w:val="Default"/>
    <w:rsid w:val="00587C59"/>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9"/>
    <w:rsid w:val="0055186B"/>
    <w:rPr>
      <w:rFonts w:ascii="Arial" w:eastAsia="Times New Roman" w:hAnsi="Arial" w:cs="Arial"/>
      <w:b/>
      <w:bCs/>
      <w:sz w:val="24"/>
      <w:szCs w:val="23"/>
      <w:lang w:eastAsia="cs-CZ"/>
    </w:rPr>
  </w:style>
  <w:style w:type="paragraph" w:customStyle="1" w:styleId="Normlbezodstazen">
    <w:name w:val="Normál bez odstazení"/>
    <w:basedOn w:val="Normln"/>
    <w:qFormat/>
    <w:rsid w:val="0055186B"/>
    <w:pPr>
      <w:tabs>
        <w:tab w:val="right" w:leader="dot" w:pos="9639"/>
      </w:tabs>
      <w:spacing w:after="0" w:line="240" w:lineRule="auto"/>
      <w:jc w:val="both"/>
    </w:pPr>
    <w:rPr>
      <w:rFonts w:ascii="Arial" w:eastAsia="Times New Roman" w:hAnsi="Arial" w:cs="Times New Roman"/>
      <w:sz w:val="20"/>
      <w:szCs w:val="20"/>
      <w:lang w:eastAsia="sk-SK"/>
    </w:rPr>
  </w:style>
  <w:style w:type="table" w:styleId="Mkatabulky">
    <w:name w:val="Table Grid"/>
    <w:basedOn w:val="Normlntabulka"/>
    <w:uiPriority w:val="99"/>
    <w:rsid w:val="0055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rnindex">
    <w:name w:val="Horní index"/>
    <w:basedOn w:val="Standardnpsmoodstavce"/>
    <w:rsid w:val="0055186B"/>
    <w:rPr>
      <w:vertAlign w:val="superscript"/>
    </w:rPr>
  </w:style>
  <w:style w:type="character" w:customStyle="1" w:styleId="Tun">
    <w:name w:val="Tučné"/>
    <w:basedOn w:val="Standardnpsmoodstavce"/>
    <w:rsid w:val="0055186B"/>
    <w:rPr>
      <w:b/>
      <w:bCs/>
    </w:rPr>
  </w:style>
  <w:style w:type="paragraph" w:customStyle="1" w:styleId="Normlbezodstazen-nasted">
    <w:name w:val="Normál bez odstazení-na střed"/>
    <w:basedOn w:val="Normlbezodstazen"/>
    <w:rsid w:val="0055186B"/>
    <w:pPr>
      <w:jc w:val="center"/>
    </w:pPr>
  </w:style>
  <w:style w:type="character" w:customStyle="1" w:styleId="Nadpis1Char">
    <w:name w:val="Nadpis 1 Char"/>
    <w:basedOn w:val="Standardnpsmoodstavce"/>
    <w:link w:val="Nadpis1"/>
    <w:uiPriority w:val="9"/>
    <w:rsid w:val="005518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4741">
      <w:bodyDiv w:val="1"/>
      <w:marLeft w:val="0"/>
      <w:marRight w:val="0"/>
      <w:marTop w:val="0"/>
      <w:marBottom w:val="0"/>
      <w:divBdr>
        <w:top w:val="none" w:sz="0" w:space="0" w:color="auto"/>
        <w:left w:val="none" w:sz="0" w:space="0" w:color="auto"/>
        <w:bottom w:val="none" w:sz="0" w:space="0" w:color="auto"/>
        <w:right w:val="none" w:sz="0" w:space="0" w:color="auto"/>
      </w:divBdr>
    </w:div>
    <w:div w:id="309405903">
      <w:bodyDiv w:val="1"/>
      <w:marLeft w:val="0"/>
      <w:marRight w:val="0"/>
      <w:marTop w:val="0"/>
      <w:marBottom w:val="0"/>
      <w:divBdr>
        <w:top w:val="none" w:sz="0" w:space="0" w:color="auto"/>
        <w:left w:val="none" w:sz="0" w:space="0" w:color="auto"/>
        <w:bottom w:val="none" w:sz="0" w:space="0" w:color="auto"/>
        <w:right w:val="none" w:sz="0" w:space="0" w:color="auto"/>
      </w:divBdr>
    </w:div>
    <w:div w:id="560217409">
      <w:bodyDiv w:val="1"/>
      <w:marLeft w:val="0"/>
      <w:marRight w:val="0"/>
      <w:marTop w:val="0"/>
      <w:marBottom w:val="0"/>
      <w:divBdr>
        <w:top w:val="none" w:sz="0" w:space="0" w:color="auto"/>
        <w:left w:val="none" w:sz="0" w:space="0" w:color="auto"/>
        <w:bottom w:val="none" w:sz="0" w:space="0" w:color="auto"/>
        <w:right w:val="none" w:sz="0" w:space="0" w:color="auto"/>
      </w:divBdr>
    </w:div>
    <w:div w:id="572006009">
      <w:bodyDiv w:val="1"/>
      <w:marLeft w:val="0"/>
      <w:marRight w:val="0"/>
      <w:marTop w:val="0"/>
      <w:marBottom w:val="0"/>
      <w:divBdr>
        <w:top w:val="none" w:sz="0" w:space="0" w:color="auto"/>
        <w:left w:val="none" w:sz="0" w:space="0" w:color="auto"/>
        <w:bottom w:val="none" w:sz="0" w:space="0" w:color="auto"/>
        <w:right w:val="none" w:sz="0" w:space="0" w:color="auto"/>
      </w:divBdr>
    </w:div>
    <w:div w:id="736245783">
      <w:bodyDiv w:val="1"/>
      <w:marLeft w:val="0"/>
      <w:marRight w:val="0"/>
      <w:marTop w:val="0"/>
      <w:marBottom w:val="0"/>
      <w:divBdr>
        <w:top w:val="none" w:sz="0" w:space="0" w:color="auto"/>
        <w:left w:val="none" w:sz="0" w:space="0" w:color="auto"/>
        <w:bottom w:val="none" w:sz="0" w:space="0" w:color="auto"/>
        <w:right w:val="none" w:sz="0" w:space="0" w:color="auto"/>
      </w:divBdr>
    </w:div>
    <w:div w:id="800538261">
      <w:bodyDiv w:val="1"/>
      <w:marLeft w:val="0"/>
      <w:marRight w:val="0"/>
      <w:marTop w:val="0"/>
      <w:marBottom w:val="0"/>
      <w:divBdr>
        <w:top w:val="none" w:sz="0" w:space="0" w:color="auto"/>
        <w:left w:val="none" w:sz="0" w:space="0" w:color="auto"/>
        <w:bottom w:val="none" w:sz="0" w:space="0" w:color="auto"/>
        <w:right w:val="none" w:sz="0" w:space="0" w:color="auto"/>
      </w:divBdr>
    </w:div>
    <w:div w:id="854541783">
      <w:bodyDiv w:val="1"/>
      <w:marLeft w:val="0"/>
      <w:marRight w:val="0"/>
      <w:marTop w:val="0"/>
      <w:marBottom w:val="0"/>
      <w:divBdr>
        <w:top w:val="none" w:sz="0" w:space="0" w:color="auto"/>
        <w:left w:val="none" w:sz="0" w:space="0" w:color="auto"/>
        <w:bottom w:val="none" w:sz="0" w:space="0" w:color="auto"/>
        <w:right w:val="none" w:sz="0" w:space="0" w:color="auto"/>
      </w:divBdr>
    </w:div>
    <w:div w:id="1292898892">
      <w:bodyDiv w:val="1"/>
      <w:marLeft w:val="0"/>
      <w:marRight w:val="0"/>
      <w:marTop w:val="0"/>
      <w:marBottom w:val="0"/>
      <w:divBdr>
        <w:top w:val="none" w:sz="0" w:space="0" w:color="auto"/>
        <w:left w:val="none" w:sz="0" w:space="0" w:color="auto"/>
        <w:bottom w:val="none" w:sz="0" w:space="0" w:color="auto"/>
        <w:right w:val="none" w:sz="0" w:space="0" w:color="auto"/>
      </w:divBdr>
    </w:div>
    <w:div w:id="1426536272">
      <w:bodyDiv w:val="1"/>
      <w:marLeft w:val="0"/>
      <w:marRight w:val="0"/>
      <w:marTop w:val="0"/>
      <w:marBottom w:val="0"/>
      <w:divBdr>
        <w:top w:val="none" w:sz="0" w:space="0" w:color="auto"/>
        <w:left w:val="none" w:sz="0" w:space="0" w:color="auto"/>
        <w:bottom w:val="none" w:sz="0" w:space="0" w:color="auto"/>
        <w:right w:val="none" w:sz="0" w:space="0" w:color="auto"/>
      </w:divBdr>
    </w:div>
    <w:div w:id="1870143461">
      <w:bodyDiv w:val="1"/>
      <w:marLeft w:val="0"/>
      <w:marRight w:val="0"/>
      <w:marTop w:val="0"/>
      <w:marBottom w:val="0"/>
      <w:divBdr>
        <w:top w:val="none" w:sz="0" w:space="0" w:color="auto"/>
        <w:left w:val="none" w:sz="0" w:space="0" w:color="auto"/>
        <w:bottom w:val="none" w:sz="0" w:space="0" w:color="auto"/>
        <w:right w:val="none" w:sz="0" w:space="0" w:color="auto"/>
      </w:divBdr>
    </w:div>
    <w:div w:id="1973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http://www.pid.c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7.emf"/></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778E-17E8-49C3-AC06-1B0A3BCC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TotalTime>
  <Pages>19</Pages>
  <Words>1399</Words>
  <Characters>8256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TARIF VDV – PLATÍ OD 1. 3. 2020</vt:lpstr>
    </vt:vector>
  </TitlesOfParts>
  <Company>Krajský úřad Kraje Vysočina</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 VDV – PLATÍ OD 1. 3. 2020</dc:title>
  <dc:subject/>
  <dc:creator>Němec Jan Bc.</dc:creator>
  <cp:keywords/>
  <dc:description/>
  <cp:lastModifiedBy>Němec Jan Bc.</cp:lastModifiedBy>
  <cp:revision>36</cp:revision>
  <cp:lastPrinted>2022-04-04T10:47:00Z</cp:lastPrinted>
  <dcterms:created xsi:type="dcterms:W3CDTF">2020-01-27T10:02:00Z</dcterms:created>
  <dcterms:modified xsi:type="dcterms:W3CDTF">2022-04-04T10:47:00Z</dcterms:modified>
</cp:coreProperties>
</file>