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4A199" w14:textId="57F13463" w:rsidR="006D57F7" w:rsidRDefault="006D57F7" w:rsidP="006D57F7">
      <w:pPr>
        <w:jc w:val="center"/>
        <w:rPr>
          <w:b/>
          <w:sz w:val="28"/>
        </w:rPr>
      </w:pPr>
      <w:r>
        <w:rPr>
          <w:b/>
          <w:sz w:val="28"/>
        </w:rPr>
        <w:t>Metodický postup</w:t>
      </w:r>
      <w:r w:rsidRPr="006D57F7">
        <w:rPr>
          <w:b/>
          <w:sz w:val="28"/>
        </w:rPr>
        <w:t xml:space="preserve"> pro posuzování individuálních žádostí v oblasti investic </w:t>
      </w:r>
      <w:r>
        <w:rPr>
          <w:b/>
          <w:sz w:val="28"/>
        </w:rPr>
        <w:br/>
      </w:r>
      <w:r w:rsidRPr="006D57F7">
        <w:rPr>
          <w:b/>
          <w:sz w:val="28"/>
        </w:rPr>
        <w:t>do významné sportovní infrastruktury</w:t>
      </w:r>
    </w:p>
    <w:p w14:paraId="349104AD" w14:textId="34D37839" w:rsidR="00C15393" w:rsidRDefault="00C15393" w:rsidP="00C15393">
      <w:pPr>
        <w:jc w:val="both"/>
      </w:pPr>
      <w:r>
        <w:t xml:space="preserve">Kraj Vysočina bude při posuzování žádostí o přidělení individuální dotace v oblasti sportovních investic postupovat v souladu s Plánem rozvoje sportu v Kraji Vysočina, konkretizací opatření pro příslušný kalendářní rok a respektování tohoto </w:t>
      </w:r>
      <w:r w:rsidR="004A1D21">
        <w:t>metodického postupu</w:t>
      </w:r>
      <w:r>
        <w:t xml:space="preserve">. Žádost se </w:t>
      </w:r>
      <w:r w:rsidR="008E7AF6">
        <w:t>adresuje</w:t>
      </w:r>
      <w:r>
        <w:t xml:space="preserve"> Odboru školství, mládeže a sportu Krajského úřadu Kraje Vysočina, který ji postupuje k vyjádření Komisi pro sport a volný čas Radě Kra</w:t>
      </w:r>
      <w:r w:rsidR="00020FD2">
        <w:t>je Vysočina a následně k projednání Rad</w:t>
      </w:r>
      <w:bookmarkStart w:id="0" w:name="_GoBack"/>
      <w:bookmarkEnd w:id="0"/>
      <w:r w:rsidR="00020FD2">
        <w:t>ě Kraje Vysočina, případně Zastupitelstvu Kraje Vysočina.</w:t>
      </w:r>
    </w:p>
    <w:p w14:paraId="0B96A1EE" w14:textId="46492AD2" w:rsidR="00020FD2" w:rsidRDefault="00020FD2" w:rsidP="00C15393">
      <w:pPr>
        <w:jc w:val="both"/>
      </w:pPr>
      <w:r>
        <w:t xml:space="preserve">Pro výpočet výše podpory se na základě obdržené žádosti, rozpočtu projektu a projektové dokumentace určí cena hlavní aktivity projektu, z které se vypočítá </w:t>
      </w:r>
      <w:r w:rsidR="00B7751F">
        <w:t>podíl financování (výše dotace)</w:t>
      </w:r>
      <w:r w:rsidR="00455EEE">
        <w:t>.</w:t>
      </w:r>
      <w:r w:rsidR="00B7751F">
        <w:t xml:space="preserve"> </w:t>
      </w:r>
      <w:r>
        <w:t>Při posuzování žádosti se využije následující orientační bodovací tabulka:</w:t>
      </w:r>
    </w:p>
    <w:tbl>
      <w:tblPr>
        <w:tblStyle w:val="Mkatabulky"/>
        <w:tblW w:w="9161" w:type="dxa"/>
        <w:tblLook w:val="04A0" w:firstRow="1" w:lastRow="0" w:firstColumn="1" w:lastColumn="0" w:noHBand="0" w:noVBand="1"/>
      </w:tblPr>
      <w:tblGrid>
        <w:gridCol w:w="5098"/>
        <w:gridCol w:w="3021"/>
        <w:gridCol w:w="1042"/>
      </w:tblGrid>
      <w:tr w:rsidR="00441EA5" w14:paraId="6C65EFB9" w14:textId="77777777" w:rsidTr="00441EA5">
        <w:tc>
          <w:tcPr>
            <w:tcW w:w="5098" w:type="dxa"/>
            <w:vMerge w:val="restart"/>
          </w:tcPr>
          <w:p w14:paraId="2CCEF1A4" w14:textId="14BC5CF5" w:rsidR="00441EA5" w:rsidRPr="00441EA5" w:rsidRDefault="00441EA5" w:rsidP="00441EA5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  <w:r w:rsidRPr="00441EA5">
              <w:rPr>
                <w:b/>
              </w:rPr>
              <w:t xml:space="preserve">Na realizaci projektu se podílí více vnějších subjektů (např. MŠMT ČR, </w:t>
            </w:r>
            <w:r w:rsidR="006D57F7">
              <w:rPr>
                <w:b/>
              </w:rPr>
              <w:t>MMR ČR, NSA</w:t>
            </w:r>
            <w:r w:rsidRPr="00441EA5">
              <w:rPr>
                <w:b/>
              </w:rPr>
              <w:t>, obec…) s</w:t>
            </w:r>
            <w:r>
              <w:rPr>
                <w:b/>
              </w:rPr>
              <w:t>e</w:t>
            </w:r>
            <w:r w:rsidRPr="00441EA5">
              <w:rPr>
                <w:b/>
              </w:rPr>
              <w:t> </w:t>
            </w:r>
            <w:r>
              <w:rPr>
                <w:b/>
              </w:rPr>
              <w:t>spoluúčastí</w:t>
            </w:r>
            <w:r w:rsidRPr="00441EA5">
              <w:rPr>
                <w:b/>
              </w:rPr>
              <w:t xml:space="preserve"> alespoň 10 %</w:t>
            </w:r>
            <w:r>
              <w:rPr>
                <w:b/>
              </w:rPr>
              <w:t xml:space="preserve"> - max. 3 body</w:t>
            </w:r>
          </w:p>
        </w:tc>
        <w:tc>
          <w:tcPr>
            <w:tcW w:w="3021" w:type="dxa"/>
          </w:tcPr>
          <w:p w14:paraId="1A18F3AD" w14:textId="77777777" w:rsidR="00441EA5" w:rsidRDefault="00441EA5" w:rsidP="00C15393">
            <w:pPr>
              <w:jc w:val="both"/>
            </w:pPr>
            <w:r>
              <w:t>1 subjekt</w:t>
            </w:r>
          </w:p>
        </w:tc>
        <w:tc>
          <w:tcPr>
            <w:tcW w:w="1042" w:type="dxa"/>
          </w:tcPr>
          <w:p w14:paraId="4A48F82F" w14:textId="77777777" w:rsidR="00441EA5" w:rsidRDefault="00441EA5" w:rsidP="00C15393">
            <w:pPr>
              <w:jc w:val="both"/>
            </w:pPr>
            <w:r>
              <w:t>1 bod</w:t>
            </w:r>
          </w:p>
        </w:tc>
      </w:tr>
      <w:tr w:rsidR="00441EA5" w14:paraId="7892B292" w14:textId="77777777" w:rsidTr="00441EA5">
        <w:tc>
          <w:tcPr>
            <w:tcW w:w="5098" w:type="dxa"/>
            <w:vMerge/>
          </w:tcPr>
          <w:p w14:paraId="1DAA8572" w14:textId="77777777" w:rsidR="00441EA5" w:rsidRDefault="00441EA5" w:rsidP="00C15393">
            <w:pPr>
              <w:jc w:val="both"/>
            </w:pPr>
          </w:p>
        </w:tc>
        <w:tc>
          <w:tcPr>
            <w:tcW w:w="3021" w:type="dxa"/>
          </w:tcPr>
          <w:p w14:paraId="31CE15FF" w14:textId="77777777" w:rsidR="00441EA5" w:rsidRDefault="00441EA5" w:rsidP="00C15393">
            <w:pPr>
              <w:jc w:val="both"/>
            </w:pPr>
            <w:r>
              <w:t>2 subjekty</w:t>
            </w:r>
          </w:p>
        </w:tc>
        <w:tc>
          <w:tcPr>
            <w:tcW w:w="1042" w:type="dxa"/>
          </w:tcPr>
          <w:p w14:paraId="4A2E983A" w14:textId="77777777" w:rsidR="00441EA5" w:rsidRDefault="00441EA5" w:rsidP="00C15393">
            <w:pPr>
              <w:jc w:val="both"/>
            </w:pPr>
            <w:r>
              <w:t>2 body</w:t>
            </w:r>
          </w:p>
        </w:tc>
      </w:tr>
      <w:tr w:rsidR="00441EA5" w14:paraId="2139C7A2" w14:textId="77777777" w:rsidTr="00441EA5">
        <w:tc>
          <w:tcPr>
            <w:tcW w:w="5098" w:type="dxa"/>
            <w:vMerge/>
          </w:tcPr>
          <w:p w14:paraId="2ED99283" w14:textId="77777777" w:rsidR="00441EA5" w:rsidRDefault="00441EA5" w:rsidP="00C15393">
            <w:pPr>
              <w:jc w:val="both"/>
            </w:pPr>
          </w:p>
        </w:tc>
        <w:tc>
          <w:tcPr>
            <w:tcW w:w="3021" w:type="dxa"/>
          </w:tcPr>
          <w:p w14:paraId="6BD66EA6" w14:textId="77777777" w:rsidR="00441EA5" w:rsidRDefault="00441EA5" w:rsidP="00441EA5">
            <w:pPr>
              <w:jc w:val="both"/>
            </w:pPr>
            <w:r>
              <w:t>3 a více subjektů</w:t>
            </w:r>
          </w:p>
        </w:tc>
        <w:tc>
          <w:tcPr>
            <w:tcW w:w="1042" w:type="dxa"/>
          </w:tcPr>
          <w:p w14:paraId="1C5FC5F3" w14:textId="77777777" w:rsidR="00441EA5" w:rsidRDefault="00441EA5" w:rsidP="00C15393">
            <w:pPr>
              <w:jc w:val="both"/>
            </w:pPr>
            <w:r>
              <w:t>3 body</w:t>
            </w:r>
          </w:p>
        </w:tc>
      </w:tr>
      <w:tr w:rsidR="00441EA5" w14:paraId="5EF2EFC5" w14:textId="77777777" w:rsidTr="00441EA5">
        <w:tc>
          <w:tcPr>
            <w:tcW w:w="5098" w:type="dxa"/>
            <w:vMerge w:val="restart"/>
          </w:tcPr>
          <w:p w14:paraId="40AC48D9" w14:textId="7F549CD0" w:rsidR="00441EA5" w:rsidRPr="00441EA5" w:rsidRDefault="00441EA5" w:rsidP="00D611E2">
            <w:pPr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r w:rsidRPr="00441EA5">
              <w:rPr>
                <w:b/>
              </w:rPr>
              <w:t>Sportoviště bude bezúplatně využíváno</w:t>
            </w:r>
            <w:r>
              <w:rPr>
                <w:b/>
              </w:rPr>
              <w:t xml:space="preserve"> v rámci výuky tělesné výchovy</w:t>
            </w:r>
            <w:r w:rsidRPr="00441EA5">
              <w:rPr>
                <w:b/>
              </w:rPr>
              <w:t xml:space="preserve"> ze strany škol </w:t>
            </w:r>
            <w:r w:rsidR="006D57F7">
              <w:rPr>
                <w:b/>
              </w:rPr>
              <w:t xml:space="preserve">a školských zařízení </w:t>
            </w:r>
            <w:r>
              <w:rPr>
                <w:b/>
              </w:rPr>
              <w:t>se sídlem v</w:t>
            </w:r>
            <w:r w:rsidRPr="00441EA5">
              <w:rPr>
                <w:b/>
              </w:rPr>
              <w:t xml:space="preserve"> Kraj</w:t>
            </w:r>
            <w:r>
              <w:rPr>
                <w:b/>
              </w:rPr>
              <w:t>i</w:t>
            </w:r>
            <w:r w:rsidRPr="00441EA5">
              <w:rPr>
                <w:b/>
              </w:rPr>
              <w:t xml:space="preserve"> Vysočina</w:t>
            </w:r>
            <w:r>
              <w:rPr>
                <w:b/>
              </w:rPr>
              <w:t xml:space="preserve"> – max. 5 bodů</w:t>
            </w:r>
          </w:p>
        </w:tc>
        <w:tc>
          <w:tcPr>
            <w:tcW w:w="3021" w:type="dxa"/>
          </w:tcPr>
          <w:p w14:paraId="2C73931C" w14:textId="77777777" w:rsidR="00441EA5" w:rsidRDefault="00441EA5" w:rsidP="00C15393">
            <w:pPr>
              <w:jc w:val="both"/>
            </w:pPr>
            <w:r>
              <w:t>alespoň 4 hod/týdně</w:t>
            </w:r>
          </w:p>
        </w:tc>
        <w:tc>
          <w:tcPr>
            <w:tcW w:w="1042" w:type="dxa"/>
          </w:tcPr>
          <w:p w14:paraId="68DF70B0" w14:textId="77777777" w:rsidR="00441EA5" w:rsidRDefault="00441EA5" w:rsidP="00C15393">
            <w:pPr>
              <w:jc w:val="both"/>
            </w:pPr>
            <w:r>
              <w:t>3 body</w:t>
            </w:r>
          </w:p>
        </w:tc>
      </w:tr>
      <w:tr w:rsidR="00441EA5" w14:paraId="375788AF" w14:textId="77777777" w:rsidTr="00441EA5">
        <w:tc>
          <w:tcPr>
            <w:tcW w:w="5098" w:type="dxa"/>
            <w:vMerge/>
          </w:tcPr>
          <w:p w14:paraId="28E53E9F" w14:textId="77777777" w:rsidR="00441EA5" w:rsidRPr="00441EA5" w:rsidRDefault="00441EA5" w:rsidP="00C15393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7DA01C5F" w14:textId="77777777" w:rsidR="00441EA5" w:rsidRDefault="00441EA5" w:rsidP="00C15393">
            <w:pPr>
              <w:jc w:val="both"/>
            </w:pPr>
            <w:r>
              <w:t>alespoň 8 hod/týdně</w:t>
            </w:r>
          </w:p>
        </w:tc>
        <w:tc>
          <w:tcPr>
            <w:tcW w:w="1042" w:type="dxa"/>
          </w:tcPr>
          <w:p w14:paraId="026D54B6" w14:textId="77777777" w:rsidR="00441EA5" w:rsidRDefault="00441EA5" w:rsidP="00C15393">
            <w:pPr>
              <w:jc w:val="both"/>
            </w:pPr>
            <w:r>
              <w:t>4 body</w:t>
            </w:r>
          </w:p>
        </w:tc>
      </w:tr>
      <w:tr w:rsidR="00441EA5" w14:paraId="54B77ED6" w14:textId="77777777" w:rsidTr="00441EA5">
        <w:tc>
          <w:tcPr>
            <w:tcW w:w="5098" w:type="dxa"/>
            <w:vMerge/>
          </w:tcPr>
          <w:p w14:paraId="34236EC1" w14:textId="77777777" w:rsidR="00441EA5" w:rsidRPr="00441EA5" w:rsidRDefault="00441EA5" w:rsidP="00C15393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4E5CB00A" w14:textId="77777777" w:rsidR="00441EA5" w:rsidRDefault="00441EA5" w:rsidP="00C15393">
            <w:pPr>
              <w:jc w:val="both"/>
            </w:pPr>
            <w:r>
              <w:t>alespoň 12 hod/týdně</w:t>
            </w:r>
          </w:p>
        </w:tc>
        <w:tc>
          <w:tcPr>
            <w:tcW w:w="1042" w:type="dxa"/>
          </w:tcPr>
          <w:p w14:paraId="54DA45E0" w14:textId="77777777" w:rsidR="00441EA5" w:rsidRDefault="00441EA5" w:rsidP="00C15393">
            <w:pPr>
              <w:jc w:val="both"/>
            </w:pPr>
            <w:r>
              <w:t>5 bodů</w:t>
            </w:r>
          </w:p>
        </w:tc>
      </w:tr>
      <w:tr w:rsidR="00441EA5" w14:paraId="4F784A84" w14:textId="77777777" w:rsidTr="00441EA5">
        <w:tc>
          <w:tcPr>
            <w:tcW w:w="5098" w:type="dxa"/>
            <w:vMerge w:val="restart"/>
          </w:tcPr>
          <w:p w14:paraId="1E89B721" w14:textId="77777777" w:rsidR="00441EA5" w:rsidRPr="00441EA5" w:rsidRDefault="00441EA5" w:rsidP="00C15393">
            <w:pPr>
              <w:jc w:val="both"/>
              <w:rPr>
                <w:b/>
              </w:rPr>
            </w:pPr>
            <w:r>
              <w:rPr>
                <w:b/>
              </w:rPr>
              <w:t xml:space="preserve">3. </w:t>
            </w:r>
            <w:r w:rsidRPr="00441EA5">
              <w:rPr>
                <w:b/>
              </w:rPr>
              <w:t>Infrastruktura bude</w:t>
            </w:r>
            <w:r>
              <w:rPr>
                <w:b/>
              </w:rPr>
              <w:t xml:space="preserve"> pravidelně</w:t>
            </w:r>
            <w:r w:rsidRPr="00441EA5">
              <w:rPr>
                <w:b/>
              </w:rPr>
              <w:t xml:space="preserve"> využívána dalšími sportovními kluby v rámci jejich činnosti spojené s tréninkem dětí a mládeže</w:t>
            </w:r>
            <w:r>
              <w:rPr>
                <w:b/>
              </w:rPr>
              <w:t xml:space="preserve"> – max. 2 body</w:t>
            </w:r>
          </w:p>
        </w:tc>
        <w:tc>
          <w:tcPr>
            <w:tcW w:w="3021" w:type="dxa"/>
          </w:tcPr>
          <w:p w14:paraId="2443293C" w14:textId="77777777" w:rsidR="00441EA5" w:rsidRDefault="00441EA5" w:rsidP="00C15393">
            <w:pPr>
              <w:jc w:val="both"/>
            </w:pPr>
            <w:r>
              <w:t>nejvýše 2 kluby</w:t>
            </w:r>
          </w:p>
        </w:tc>
        <w:tc>
          <w:tcPr>
            <w:tcW w:w="1042" w:type="dxa"/>
          </w:tcPr>
          <w:p w14:paraId="3F9197C6" w14:textId="77777777" w:rsidR="00441EA5" w:rsidRDefault="00441EA5" w:rsidP="00C15393">
            <w:pPr>
              <w:jc w:val="both"/>
            </w:pPr>
            <w:r>
              <w:t>1 bod</w:t>
            </w:r>
          </w:p>
        </w:tc>
      </w:tr>
      <w:tr w:rsidR="00441EA5" w14:paraId="3310B5F0" w14:textId="77777777" w:rsidTr="00441EA5">
        <w:tc>
          <w:tcPr>
            <w:tcW w:w="5098" w:type="dxa"/>
            <w:vMerge/>
          </w:tcPr>
          <w:p w14:paraId="54CF7DA6" w14:textId="77777777" w:rsidR="00441EA5" w:rsidRDefault="00441EA5" w:rsidP="00C15393">
            <w:pPr>
              <w:jc w:val="both"/>
            </w:pPr>
          </w:p>
        </w:tc>
        <w:tc>
          <w:tcPr>
            <w:tcW w:w="3021" w:type="dxa"/>
          </w:tcPr>
          <w:p w14:paraId="37141F06" w14:textId="77777777" w:rsidR="00441EA5" w:rsidRDefault="00441EA5" w:rsidP="00C15393">
            <w:pPr>
              <w:jc w:val="both"/>
            </w:pPr>
            <w:r>
              <w:t>alespoň 3 kluby</w:t>
            </w:r>
          </w:p>
        </w:tc>
        <w:tc>
          <w:tcPr>
            <w:tcW w:w="1042" w:type="dxa"/>
          </w:tcPr>
          <w:p w14:paraId="19F6FB3B" w14:textId="77777777" w:rsidR="00441EA5" w:rsidRDefault="00441EA5" w:rsidP="00C15393">
            <w:pPr>
              <w:jc w:val="both"/>
            </w:pPr>
            <w:r>
              <w:t>2 body</w:t>
            </w:r>
          </w:p>
        </w:tc>
      </w:tr>
      <w:tr w:rsidR="00441EA5" w14:paraId="361C3E5D" w14:textId="77777777" w:rsidTr="00441EA5">
        <w:tc>
          <w:tcPr>
            <w:tcW w:w="5098" w:type="dxa"/>
            <w:vMerge w:val="restart"/>
          </w:tcPr>
          <w:p w14:paraId="2320982C" w14:textId="77777777" w:rsidR="00441EA5" w:rsidRPr="00441EA5" w:rsidRDefault="00441EA5" w:rsidP="00C15393">
            <w:pPr>
              <w:jc w:val="both"/>
              <w:rPr>
                <w:b/>
              </w:rPr>
            </w:pPr>
            <w:r>
              <w:rPr>
                <w:b/>
              </w:rPr>
              <w:t xml:space="preserve">4. </w:t>
            </w:r>
            <w:r w:rsidRPr="00441EA5">
              <w:rPr>
                <w:b/>
              </w:rPr>
              <w:t>Organizace s přiděleným statutem Krajského centra talentované mládeže (KCTM) má možnost využívat sportoviště – max. 2 body</w:t>
            </w:r>
          </w:p>
        </w:tc>
        <w:tc>
          <w:tcPr>
            <w:tcW w:w="3021" w:type="dxa"/>
          </w:tcPr>
          <w:p w14:paraId="347A9D9C" w14:textId="77777777" w:rsidR="00441EA5" w:rsidRDefault="00441EA5" w:rsidP="00C15393">
            <w:pPr>
              <w:jc w:val="both"/>
            </w:pPr>
            <w:r>
              <w:t>příležitostně</w:t>
            </w:r>
          </w:p>
        </w:tc>
        <w:tc>
          <w:tcPr>
            <w:tcW w:w="1042" w:type="dxa"/>
          </w:tcPr>
          <w:p w14:paraId="5EFD4A67" w14:textId="77777777" w:rsidR="00441EA5" w:rsidRDefault="00441EA5" w:rsidP="00C15393">
            <w:pPr>
              <w:jc w:val="both"/>
            </w:pPr>
            <w:r>
              <w:t>1 bod</w:t>
            </w:r>
          </w:p>
        </w:tc>
      </w:tr>
      <w:tr w:rsidR="00441EA5" w14:paraId="7631B4AC" w14:textId="77777777" w:rsidTr="00441EA5">
        <w:tc>
          <w:tcPr>
            <w:tcW w:w="5098" w:type="dxa"/>
            <w:vMerge/>
          </w:tcPr>
          <w:p w14:paraId="749153AB" w14:textId="77777777" w:rsidR="00441EA5" w:rsidRDefault="00441EA5" w:rsidP="00C15393">
            <w:pPr>
              <w:jc w:val="both"/>
            </w:pPr>
          </w:p>
        </w:tc>
        <w:tc>
          <w:tcPr>
            <w:tcW w:w="3021" w:type="dxa"/>
          </w:tcPr>
          <w:p w14:paraId="0643B7D1" w14:textId="77777777" w:rsidR="00441EA5" w:rsidRDefault="00441EA5" w:rsidP="00C15393">
            <w:pPr>
              <w:jc w:val="both"/>
            </w:pPr>
            <w:r>
              <w:t>celoročně</w:t>
            </w:r>
          </w:p>
        </w:tc>
        <w:tc>
          <w:tcPr>
            <w:tcW w:w="1042" w:type="dxa"/>
          </w:tcPr>
          <w:p w14:paraId="6EEF8798" w14:textId="77777777" w:rsidR="00441EA5" w:rsidRDefault="00441EA5" w:rsidP="00C15393">
            <w:pPr>
              <w:jc w:val="both"/>
            </w:pPr>
            <w:r>
              <w:t>2 body</w:t>
            </w:r>
          </w:p>
        </w:tc>
      </w:tr>
      <w:tr w:rsidR="00441EA5" w14:paraId="7B9E798B" w14:textId="77777777" w:rsidTr="00441EA5">
        <w:tc>
          <w:tcPr>
            <w:tcW w:w="5098" w:type="dxa"/>
            <w:vMerge w:val="restart"/>
          </w:tcPr>
          <w:p w14:paraId="6BED1E65" w14:textId="77777777" w:rsidR="00441EA5" w:rsidRPr="00441EA5" w:rsidRDefault="00441EA5" w:rsidP="00441EA5">
            <w:pPr>
              <w:jc w:val="both"/>
              <w:rPr>
                <w:b/>
              </w:rPr>
            </w:pPr>
            <w:r w:rsidRPr="00441EA5">
              <w:rPr>
                <w:b/>
              </w:rPr>
              <w:t>5. Sportoviště bude přístupné pro širokou veřejnost (neprofesionální sportovce)</w:t>
            </w:r>
            <w:r>
              <w:rPr>
                <w:b/>
              </w:rPr>
              <w:t xml:space="preserve"> – max. 2 body</w:t>
            </w:r>
          </w:p>
        </w:tc>
        <w:tc>
          <w:tcPr>
            <w:tcW w:w="3021" w:type="dxa"/>
          </w:tcPr>
          <w:p w14:paraId="02B408E6" w14:textId="77777777" w:rsidR="00441EA5" w:rsidRDefault="00441EA5" w:rsidP="00C15393">
            <w:pPr>
              <w:jc w:val="both"/>
            </w:pPr>
            <w:r>
              <w:t>za provozní náklady</w:t>
            </w:r>
          </w:p>
        </w:tc>
        <w:tc>
          <w:tcPr>
            <w:tcW w:w="1042" w:type="dxa"/>
          </w:tcPr>
          <w:p w14:paraId="4FC60AF0" w14:textId="77777777" w:rsidR="00441EA5" w:rsidRDefault="00441EA5" w:rsidP="00C15393">
            <w:pPr>
              <w:jc w:val="both"/>
            </w:pPr>
            <w:r>
              <w:t>1 bod</w:t>
            </w:r>
          </w:p>
        </w:tc>
      </w:tr>
      <w:tr w:rsidR="00441EA5" w14:paraId="0E8567C5" w14:textId="77777777" w:rsidTr="00441EA5">
        <w:tc>
          <w:tcPr>
            <w:tcW w:w="5098" w:type="dxa"/>
            <w:vMerge/>
          </w:tcPr>
          <w:p w14:paraId="09A9D0F8" w14:textId="77777777" w:rsidR="00441EA5" w:rsidRDefault="00441EA5" w:rsidP="00C15393">
            <w:pPr>
              <w:jc w:val="both"/>
            </w:pPr>
          </w:p>
        </w:tc>
        <w:tc>
          <w:tcPr>
            <w:tcW w:w="3021" w:type="dxa"/>
          </w:tcPr>
          <w:p w14:paraId="52C27D27" w14:textId="77777777" w:rsidR="00441EA5" w:rsidRDefault="00441EA5" w:rsidP="00C15393">
            <w:pPr>
              <w:jc w:val="both"/>
            </w:pPr>
            <w:r>
              <w:t>bezúplatně</w:t>
            </w:r>
          </w:p>
        </w:tc>
        <w:tc>
          <w:tcPr>
            <w:tcW w:w="1042" w:type="dxa"/>
          </w:tcPr>
          <w:p w14:paraId="0A4830D1" w14:textId="77777777" w:rsidR="00441EA5" w:rsidRDefault="00441EA5" w:rsidP="00C15393">
            <w:pPr>
              <w:jc w:val="both"/>
            </w:pPr>
            <w:r>
              <w:t>2 body</w:t>
            </w:r>
          </w:p>
        </w:tc>
      </w:tr>
      <w:tr w:rsidR="00017417" w14:paraId="7F8C7BC7" w14:textId="77777777" w:rsidTr="00441EA5">
        <w:tc>
          <w:tcPr>
            <w:tcW w:w="5098" w:type="dxa"/>
            <w:vMerge w:val="restart"/>
          </w:tcPr>
          <w:p w14:paraId="2EEA99A1" w14:textId="77777777" w:rsidR="00017417" w:rsidRPr="00017417" w:rsidRDefault="00017417" w:rsidP="00C15393">
            <w:pPr>
              <w:jc w:val="both"/>
              <w:rPr>
                <w:b/>
              </w:rPr>
            </w:pPr>
            <w:r w:rsidRPr="00017417">
              <w:rPr>
                <w:b/>
              </w:rPr>
              <w:t>6. Realizace projektu je strategická z hlediska poptávky v daném regionu</w:t>
            </w:r>
            <w:r>
              <w:rPr>
                <w:b/>
              </w:rPr>
              <w:t xml:space="preserve"> – max. 2 body</w:t>
            </w:r>
          </w:p>
        </w:tc>
        <w:tc>
          <w:tcPr>
            <w:tcW w:w="3021" w:type="dxa"/>
          </w:tcPr>
          <w:p w14:paraId="79147DA4" w14:textId="77777777" w:rsidR="00017417" w:rsidRDefault="00017417" w:rsidP="00017417">
            <w:r>
              <w:t>doložitelnost prohlášením od zástupců místních samospráv</w:t>
            </w:r>
          </w:p>
        </w:tc>
        <w:tc>
          <w:tcPr>
            <w:tcW w:w="1042" w:type="dxa"/>
          </w:tcPr>
          <w:p w14:paraId="2224F9B6" w14:textId="77777777" w:rsidR="00017417" w:rsidRDefault="00017417" w:rsidP="00C15393">
            <w:pPr>
              <w:jc w:val="both"/>
            </w:pPr>
            <w:r>
              <w:t>1 bod</w:t>
            </w:r>
          </w:p>
        </w:tc>
      </w:tr>
      <w:tr w:rsidR="00017417" w14:paraId="0C9AA5AB" w14:textId="77777777" w:rsidTr="00441EA5">
        <w:tc>
          <w:tcPr>
            <w:tcW w:w="5098" w:type="dxa"/>
            <w:vMerge/>
          </w:tcPr>
          <w:p w14:paraId="4B757821" w14:textId="77777777" w:rsidR="00017417" w:rsidRDefault="00017417" w:rsidP="00C15393">
            <w:pPr>
              <w:jc w:val="both"/>
            </w:pPr>
          </w:p>
        </w:tc>
        <w:tc>
          <w:tcPr>
            <w:tcW w:w="3021" w:type="dxa"/>
          </w:tcPr>
          <w:p w14:paraId="748E671F" w14:textId="77777777" w:rsidR="00017417" w:rsidRDefault="00017417" w:rsidP="00017417">
            <w:r>
              <w:t>doložitelnost odkazem na místní strategické dokumenty</w:t>
            </w:r>
          </w:p>
        </w:tc>
        <w:tc>
          <w:tcPr>
            <w:tcW w:w="1042" w:type="dxa"/>
          </w:tcPr>
          <w:p w14:paraId="16170800" w14:textId="77777777" w:rsidR="00017417" w:rsidRDefault="00017417" w:rsidP="00C15393">
            <w:pPr>
              <w:jc w:val="both"/>
            </w:pPr>
            <w:r>
              <w:t>2 body</w:t>
            </w:r>
          </w:p>
        </w:tc>
      </w:tr>
      <w:tr w:rsidR="00017417" w14:paraId="40CDBD7C" w14:textId="77777777" w:rsidTr="00441EA5">
        <w:tc>
          <w:tcPr>
            <w:tcW w:w="5098" w:type="dxa"/>
            <w:vMerge w:val="restart"/>
          </w:tcPr>
          <w:p w14:paraId="23D25768" w14:textId="009D8457" w:rsidR="00017417" w:rsidRPr="00017417" w:rsidRDefault="00017417" w:rsidP="00017417">
            <w:pPr>
              <w:jc w:val="both"/>
              <w:rPr>
                <w:b/>
              </w:rPr>
            </w:pPr>
            <w:r w:rsidRPr="00017417">
              <w:rPr>
                <w:b/>
              </w:rPr>
              <w:t xml:space="preserve">7. Projekt </w:t>
            </w:r>
            <w:r w:rsidR="00D611E2">
              <w:rPr>
                <w:b/>
              </w:rPr>
              <w:t>vychází z Plánu rozvoje sportu v Kraji Vysočina a</w:t>
            </w:r>
            <w:r>
              <w:rPr>
                <w:b/>
              </w:rPr>
              <w:t xml:space="preserve"> Strategie rozvoje Kraje Vysočina a přispívá k jeho propagaci – max. 2 body</w:t>
            </w:r>
          </w:p>
        </w:tc>
        <w:tc>
          <w:tcPr>
            <w:tcW w:w="3021" w:type="dxa"/>
          </w:tcPr>
          <w:p w14:paraId="576FF2CB" w14:textId="77777777" w:rsidR="00017417" w:rsidRDefault="00017417" w:rsidP="00C15393">
            <w:pPr>
              <w:jc w:val="both"/>
            </w:pPr>
            <w:r>
              <w:t xml:space="preserve">částečně  </w:t>
            </w:r>
          </w:p>
        </w:tc>
        <w:tc>
          <w:tcPr>
            <w:tcW w:w="1042" w:type="dxa"/>
          </w:tcPr>
          <w:p w14:paraId="7CC2308E" w14:textId="77777777" w:rsidR="00017417" w:rsidRDefault="00017417" w:rsidP="00C15393">
            <w:pPr>
              <w:jc w:val="both"/>
            </w:pPr>
            <w:r>
              <w:t>1 bod</w:t>
            </w:r>
          </w:p>
        </w:tc>
      </w:tr>
      <w:tr w:rsidR="00017417" w14:paraId="1685E0DC" w14:textId="77777777" w:rsidTr="00441EA5">
        <w:tc>
          <w:tcPr>
            <w:tcW w:w="5098" w:type="dxa"/>
            <w:vMerge/>
          </w:tcPr>
          <w:p w14:paraId="2FEB084D" w14:textId="77777777" w:rsidR="00017417" w:rsidRDefault="00017417" w:rsidP="00C15393">
            <w:pPr>
              <w:jc w:val="both"/>
            </w:pPr>
          </w:p>
        </w:tc>
        <w:tc>
          <w:tcPr>
            <w:tcW w:w="3021" w:type="dxa"/>
          </w:tcPr>
          <w:p w14:paraId="66AA4C09" w14:textId="5404AFF6" w:rsidR="00017417" w:rsidRDefault="00696E0F" w:rsidP="00017417">
            <w:r>
              <w:t>Ú</w:t>
            </w:r>
            <w:r w:rsidR="00017417">
              <w:t>plně</w:t>
            </w:r>
          </w:p>
        </w:tc>
        <w:tc>
          <w:tcPr>
            <w:tcW w:w="1042" w:type="dxa"/>
          </w:tcPr>
          <w:p w14:paraId="2E33DBD9" w14:textId="77777777" w:rsidR="00017417" w:rsidRDefault="00017417" w:rsidP="00C15393">
            <w:pPr>
              <w:jc w:val="both"/>
            </w:pPr>
            <w:r>
              <w:t>2 body</w:t>
            </w:r>
          </w:p>
        </w:tc>
      </w:tr>
      <w:tr w:rsidR="00017417" w14:paraId="245BB019" w14:textId="77777777" w:rsidTr="00441EA5">
        <w:tc>
          <w:tcPr>
            <w:tcW w:w="5098" w:type="dxa"/>
            <w:vMerge w:val="restart"/>
          </w:tcPr>
          <w:p w14:paraId="29102746" w14:textId="77777777" w:rsidR="00017417" w:rsidRPr="00017417" w:rsidRDefault="00017417" w:rsidP="00017417">
            <w:pPr>
              <w:jc w:val="both"/>
              <w:rPr>
                <w:b/>
              </w:rPr>
            </w:pPr>
            <w:r w:rsidRPr="00017417">
              <w:rPr>
                <w:b/>
              </w:rPr>
              <w:t>8. Sportoviště</w:t>
            </w:r>
            <w:r>
              <w:rPr>
                <w:b/>
              </w:rPr>
              <w:t xml:space="preserve"> umožňuje svými parametry a přidruženou infrastrukturou pořádání národních a mezinárodních soutěží</w:t>
            </w:r>
            <w:r w:rsidRPr="00017417">
              <w:rPr>
                <w:b/>
              </w:rPr>
              <w:t xml:space="preserve"> </w:t>
            </w:r>
            <w:r>
              <w:rPr>
                <w:b/>
              </w:rPr>
              <w:t>– max. 2 body</w:t>
            </w:r>
          </w:p>
        </w:tc>
        <w:tc>
          <w:tcPr>
            <w:tcW w:w="3021" w:type="dxa"/>
          </w:tcPr>
          <w:p w14:paraId="6BBF699D" w14:textId="77777777" w:rsidR="00017417" w:rsidRDefault="00017417" w:rsidP="00C15393">
            <w:pPr>
              <w:jc w:val="both"/>
            </w:pPr>
            <w:r>
              <w:t>pouze parametry sportoviště</w:t>
            </w:r>
          </w:p>
        </w:tc>
        <w:tc>
          <w:tcPr>
            <w:tcW w:w="1042" w:type="dxa"/>
          </w:tcPr>
          <w:p w14:paraId="2943AD4A" w14:textId="77777777" w:rsidR="00017417" w:rsidRDefault="00017417" w:rsidP="00C15393">
            <w:pPr>
              <w:jc w:val="both"/>
            </w:pPr>
            <w:r>
              <w:t>1 bod</w:t>
            </w:r>
          </w:p>
        </w:tc>
      </w:tr>
      <w:tr w:rsidR="00017417" w14:paraId="4E30957B" w14:textId="77777777" w:rsidTr="00441EA5">
        <w:tc>
          <w:tcPr>
            <w:tcW w:w="5098" w:type="dxa"/>
            <w:vMerge/>
          </w:tcPr>
          <w:p w14:paraId="6C7F7C1B" w14:textId="77777777" w:rsidR="00017417" w:rsidRDefault="00017417" w:rsidP="00C15393">
            <w:pPr>
              <w:jc w:val="both"/>
            </w:pPr>
          </w:p>
        </w:tc>
        <w:tc>
          <w:tcPr>
            <w:tcW w:w="3021" w:type="dxa"/>
          </w:tcPr>
          <w:p w14:paraId="71C90D85" w14:textId="77777777" w:rsidR="00017417" w:rsidRDefault="00017417" w:rsidP="008E7AF6">
            <w:r>
              <w:t xml:space="preserve">parametry sportoviště </w:t>
            </w:r>
            <w:r w:rsidR="008E7AF6">
              <w:br/>
            </w:r>
            <w:r>
              <w:t>i přidruženou infrastrukturou</w:t>
            </w:r>
          </w:p>
        </w:tc>
        <w:tc>
          <w:tcPr>
            <w:tcW w:w="1042" w:type="dxa"/>
          </w:tcPr>
          <w:p w14:paraId="49188EF1" w14:textId="77777777" w:rsidR="00017417" w:rsidRDefault="00017417" w:rsidP="00C15393">
            <w:pPr>
              <w:jc w:val="both"/>
            </w:pPr>
            <w:r>
              <w:t>2 body</w:t>
            </w:r>
          </w:p>
        </w:tc>
      </w:tr>
      <w:tr w:rsidR="00017417" w14:paraId="09A71096" w14:textId="77777777" w:rsidTr="0093107D">
        <w:tc>
          <w:tcPr>
            <w:tcW w:w="9161" w:type="dxa"/>
            <w:gridSpan w:val="3"/>
          </w:tcPr>
          <w:p w14:paraId="38E37909" w14:textId="2024D44E" w:rsidR="00017417" w:rsidRPr="00017417" w:rsidRDefault="00017417" w:rsidP="00C15393">
            <w:pPr>
              <w:jc w:val="both"/>
              <w:rPr>
                <w:b/>
              </w:rPr>
            </w:pPr>
            <w:r w:rsidRPr="00017417">
              <w:rPr>
                <w:b/>
              </w:rPr>
              <w:t>9. Projekt nemůže prokazatelně získat podporu z jiných zdrojů financování v rozsahu financování do 50 % způsobilých výdajů</w:t>
            </w:r>
            <w:r w:rsidR="00D611E2">
              <w:rPr>
                <w:b/>
              </w:rPr>
              <w:t xml:space="preserve"> – max. 10 bodů</w:t>
            </w:r>
          </w:p>
        </w:tc>
      </w:tr>
    </w:tbl>
    <w:p w14:paraId="6933F473" w14:textId="77777777" w:rsidR="00020FD2" w:rsidRDefault="00020FD2" w:rsidP="00C15393">
      <w:pPr>
        <w:jc w:val="both"/>
      </w:pPr>
    </w:p>
    <w:p w14:paraId="0935D532" w14:textId="7A28FA1C" w:rsidR="00020FD2" w:rsidRDefault="00B7257D" w:rsidP="00C15393">
      <w:pPr>
        <w:jc w:val="both"/>
      </w:pPr>
      <w:r>
        <w:t xml:space="preserve">K poskytnutí dotace je </w:t>
      </w:r>
      <w:r w:rsidR="00F673E5">
        <w:t>doporučena</w:t>
      </w:r>
      <w:r>
        <w:t xml:space="preserve"> každá žádost, která získá alespoň </w:t>
      </w:r>
      <w:r w:rsidR="00D611E2">
        <w:t>10</w:t>
      </w:r>
      <w:r>
        <w:t xml:space="preserve"> bodů. </w:t>
      </w:r>
      <w:r w:rsidR="00F673E5">
        <w:t>Nominální hodnot</w:t>
      </w:r>
      <w:r w:rsidR="00D611E2">
        <w:t>a</w:t>
      </w:r>
      <w:r w:rsidR="00F673E5">
        <w:t xml:space="preserve"> b</w:t>
      </w:r>
      <w:r w:rsidR="00017417">
        <w:t>odov</w:t>
      </w:r>
      <w:r w:rsidR="00F673E5">
        <w:t xml:space="preserve">ého součtu, který projekt získal, je </w:t>
      </w:r>
      <w:r w:rsidR="00D611E2">
        <w:t>rovna procentuální výši</w:t>
      </w:r>
      <w:r w:rsidR="00F673E5">
        <w:t xml:space="preserve"> podpory, která bude krajem navržena.</w:t>
      </w:r>
      <w:r w:rsidR="00017417">
        <w:t xml:space="preserve"> </w:t>
      </w:r>
      <w:r w:rsidR="00B7751F">
        <w:t>Finanční podpora kraje není pak vyšší, než částka, o kterou žádá žadatel.</w:t>
      </w:r>
    </w:p>
    <w:p w14:paraId="7140847A" w14:textId="77777777" w:rsidR="00020FD2" w:rsidRDefault="00020FD2" w:rsidP="00C15393">
      <w:pPr>
        <w:jc w:val="both"/>
      </w:pPr>
      <w:r>
        <w:t>Za účelem zachování rovného přístupu k jednotlivým žadatelům a rovnoměrné podpory do sportovních investic v rámci regionu nebude orgánům kraje doporučováno poskytnutí dotace na stejný či obdobný účel stejnému žadateli v době 3 roky od přidělení poslední dotační podpory do sportovních investic ze strany Kraje Vysočina.</w:t>
      </w:r>
    </w:p>
    <w:sectPr w:rsidR="00020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6686"/>
    <w:multiLevelType w:val="singleLevel"/>
    <w:tmpl w:val="4B568DEC"/>
    <w:lvl w:ilvl="0">
      <w:start w:val="1"/>
      <w:numFmt w:val="bullet"/>
      <w:pStyle w:val="Odrky2"/>
      <w:lvlText w:val="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</w:rPr>
    </w:lvl>
  </w:abstractNum>
  <w:abstractNum w:abstractNumId="1" w15:restartNumberingAfterBreak="0">
    <w:nsid w:val="110769FB"/>
    <w:multiLevelType w:val="hybridMultilevel"/>
    <w:tmpl w:val="54F83F3E"/>
    <w:lvl w:ilvl="0" w:tplc="04050017">
      <w:start w:val="1"/>
      <w:numFmt w:val="lowerLetter"/>
      <w:lvlText w:val="%1)"/>
      <w:lvlJc w:val="left"/>
      <w:pPr>
        <w:tabs>
          <w:tab w:val="num" w:pos="1422"/>
        </w:tabs>
        <w:ind w:left="1422" w:hanging="360"/>
      </w:pPr>
    </w:lvl>
    <w:lvl w:ilvl="1" w:tplc="04050001">
      <w:start w:val="1"/>
      <w:numFmt w:val="bullet"/>
      <w:lvlText w:val=""/>
      <w:lvlJc w:val="left"/>
      <w:pPr>
        <w:tabs>
          <w:tab w:val="num" w:pos="2142"/>
        </w:tabs>
        <w:ind w:left="2142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 w:tplc="F97C8B94">
      <w:start w:val="1"/>
      <w:numFmt w:val="lowerLetter"/>
      <w:lvlText w:val="%4)"/>
      <w:lvlJc w:val="left"/>
      <w:pPr>
        <w:tabs>
          <w:tab w:val="num" w:pos="567"/>
        </w:tabs>
        <w:ind w:left="680" w:firstLine="382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tabs>
          <w:tab w:val="num" w:pos="4302"/>
        </w:tabs>
        <w:ind w:left="4302" w:hanging="360"/>
      </w:pPr>
      <w:rPr>
        <w:rFonts w:ascii="Symbol" w:hAnsi="Symbol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93"/>
    <w:rsid w:val="00017417"/>
    <w:rsid w:val="00020FD2"/>
    <w:rsid w:val="0008707F"/>
    <w:rsid w:val="00180119"/>
    <w:rsid w:val="002340C9"/>
    <w:rsid w:val="00441EA5"/>
    <w:rsid w:val="00455EEE"/>
    <w:rsid w:val="004A1D21"/>
    <w:rsid w:val="00536C71"/>
    <w:rsid w:val="00660A38"/>
    <w:rsid w:val="00696E0F"/>
    <w:rsid w:val="006D57F7"/>
    <w:rsid w:val="0070691A"/>
    <w:rsid w:val="007B2282"/>
    <w:rsid w:val="007D7E09"/>
    <w:rsid w:val="008E7AF6"/>
    <w:rsid w:val="009F41CB"/>
    <w:rsid w:val="00A128CF"/>
    <w:rsid w:val="00B055CD"/>
    <w:rsid w:val="00B7257D"/>
    <w:rsid w:val="00B7751F"/>
    <w:rsid w:val="00C15393"/>
    <w:rsid w:val="00D611E2"/>
    <w:rsid w:val="00F6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756C"/>
  <w15:chartTrackingRefBased/>
  <w15:docId w15:val="{B0087210-D795-4314-A9CB-E4EEEA14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20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41EA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36C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36C7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36C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6C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6C7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6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6C71"/>
    <w:rPr>
      <w:rFonts w:ascii="Segoe UI" w:hAnsi="Segoe UI" w:cs="Segoe UI"/>
      <w:sz w:val="18"/>
      <w:szCs w:val="18"/>
    </w:rPr>
  </w:style>
  <w:style w:type="paragraph" w:customStyle="1" w:styleId="Odrky2">
    <w:name w:val="Odrážky2"/>
    <w:basedOn w:val="Normln"/>
    <w:rsid w:val="00536C71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457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Břížďala Jan RNDr.</dc:creator>
  <cp:keywords/>
  <dc:description/>
  <cp:lastModifiedBy>Beneš Zdeněk Ing.</cp:lastModifiedBy>
  <cp:revision>9</cp:revision>
  <dcterms:created xsi:type="dcterms:W3CDTF">2021-03-15T14:12:00Z</dcterms:created>
  <dcterms:modified xsi:type="dcterms:W3CDTF">2022-01-18T08:44:00Z</dcterms:modified>
</cp:coreProperties>
</file>