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25" w:rsidRPr="00CF4C54" w:rsidRDefault="00DF3E25" w:rsidP="00DF3E25">
      <w:pPr>
        <w:jc w:val="center"/>
        <w:rPr>
          <w:rFonts w:cs="Arial"/>
          <w:b/>
          <w:sz w:val="36"/>
          <w:szCs w:val="36"/>
        </w:rPr>
      </w:pPr>
      <w:r w:rsidRPr="00CF4C54">
        <w:rPr>
          <w:rFonts w:cs="Arial"/>
          <w:b/>
          <w:sz w:val="36"/>
          <w:szCs w:val="36"/>
        </w:rPr>
        <w:t xml:space="preserve">Konkretizace opatření </w:t>
      </w:r>
      <w:r>
        <w:rPr>
          <w:rFonts w:cs="Arial"/>
          <w:b/>
          <w:sz w:val="36"/>
          <w:szCs w:val="36"/>
        </w:rPr>
        <w:t>na rok</w:t>
      </w:r>
      <w:r w:rsidRPr="00CF4C54">
        <w:rPr>
          <w:rFonts w:cs="Arial"/>
          <w:b/>
          <w:sz w:val="36"/>
          <w:szCs w:val="36"/>
        </w:rPr>
        <w:t xml:space="preserve"> 202</w:t>
      </w:r>
      <w:r w:rsidR="003E6D8D">
        <w:rPr>
          <w:rFonts w:cs="Arial"/>
          <w:b/>
          <w:sz w:val="36"/>
          <w:szCs w:val="36"/>
        </w:rPr>
        <w:t>2</w:t>
      </w:r>
      <w:r w:rsidRPr="00CF4C54">
        <w:rPr>
          <w:rFonts w:cs="Arial"/>
          <w:b/>
          <w:sz w:val="36"/>
          <w:szCs w:val="36"/>
        </w:rPr>
        <w:t xml:space="preserve"> </w:t>
      </w:r>
      <w:r>
        <w:rPr>
          <w:rFonts w:cs="Arial"/>
          <w:b/>
          <w:sz w:val="36"/>
          <w:szCs w:val="36"/>
        </w:rPr>
        <w:br/>
      </w:r>
      <w:r w:rsidRPr="00CF4C54">
        <w:rPr>
          <w:rFonts w:cs="Arial"/>
          <w:b/>
          <w:sz w:val="36"/>
          <w:szCs w:val="36"/>
        </w:rPr>
        <w:t xml:space="preserve">k Plánu rozvoje sportu v Kraji Vysočina </w:t>
      </w:r>
      <w:r w:rsidR="00CF39FB">
        <w:rPr>
          <w:rFonts w:cs="Arial"/>
          <w:b/>
          <w:sz w:val="36"/>
          <w:szCs w:val="36"/>
        </w:rPr>
        <w:br/>
      </w:r>
      <w:r w:rsidRPr="00CF4C54">
        <w:rPr>
          <w:rFonts w:cs="Arial"/>
          <w:b/>
          <w:sz w:val="36"/>
          <w:szCs w:val="36"/>
        </w:rPr>
        <w:t>(2018 – 2025)</w:t>
      </w:r>
    </w:p>
    <w:p w:rsidR="00DF3E25" w:rsidRPr="001829F4" w:rsidRDefault="00DF3E25" w:rsidP="00DF3E25">
      <w:pPr>
        <w:rPr>
          <w:rFonts w:cs="Arial"/>
          <w:szCs w:val="24"/>
        </w:rPr>
      </w:pPr>
      <w:r w:rsidRPr="001829F4">
        <w:rPr>
          <w:rFonts w:cs="Arial"/>
          <w:szCs w:val="24"/>
        </w:rPr>
        <w:t xml:space="preserve">Tento </w:t>
      </w:r>
      <w:r>
        <w:rPr>
          <w:rFonts w:cs="Arial"/>
          <w:szCs w:val="24"/>
        </w:rPr>
        <w:t>dokument</w:t>
      </w:r>
      <w:r w:rsidRPr="001829F4">
        <w:rPr>
          <w:rFonts w:cs="Arial"/>
          <w:szCs w:val="24"/>
        </w:rPr>
        <w:t xml:space="preserve"> navazuje na Plán rozvoje sportu v Kraji Vysočina (2018 – 2025)</w:t>
      </w:r>
      <w:r w:rsidR="00A6224B">
        <w:rPr>
          <w:rFonts w:cs="Arial"/>
          <w:szCs w:val="24"/>
        </w:rPr>
        <w:t xml:space="preserve"> (dále jen „Plán“)</w:t>
      </w:r>
      <w:r w:rsidRPr="001829F4">
        <w:rPr>
          <w:rFonts w:cs="Arial"/>
          <w:szCs w:val="24"/>
        </w:rPr>
        <w:t xml:space="preserve">, který byl schválen Zastupitelstvem Kraje Vysočina dne 19. 6. 2018 usnesením č. 0539/04/2018/ZK, </w:t>
      </w:r>
      <w:r>
        <w:rPr>
          <w:rFonts w:cs="Arial"/>
          <w:szCs w:val="24"/>
        </w:rPr>
        <w:t>a ve kterém byla definována</w:t>
      </w:r>
      <w:r w:rsidRPr="001829F4">
        <w:rPr>
          <w:rFonts w:cs="Arial"/>
          <w:szCs w:val="24"/>
        </w:rPr>
        <w:t xml:space="preserve"> opatření</w:t>
      </w:r>
      <w:r w:rsidR="004B5DDF">
        <w:rPr>
          <w:rFonts w:cs="Arial"/>
          <w:szCs w:val="24"/>
        </w:rPr>
        <w:t xml:space="preserve"> k následujícím prioritám</w:t>
      </w:r>
      <w:r w:rsidRPr="001829F4">
        <w:rPr>
          <w:rFonts w:cs="Arial"/>
          <w:szCs w:val="24"/>
        </w:rPr>
        <w:t>:</w:t>
      </w:r>
    </w:p>
    <w:p w:rsidR="00635DF8" w:rsidRDefault="004B5DDF" w:rsidP="004B5DDF">
      <w:pPr>
        <w:pStyle w:val="Odstavecseseznamem"/>
        <w:numPr>
          <w:ilvl w:val="0"/>
          <w:numId w:val="1"/>
        </w:numPr>
      </w:pPr>
      <w:r>
        <w:t>Údržba a rozvoj sportovišť a související infrastruktury</w:t>
      </w:r>
    </w:p>
    <w:p w:rsidR="004B5DDF" w:rsidRDefault="004B5DDF" w:rsidP="004B5DDF">
      <w:pPr>
        <w:pStyle w:val="Odstavecseseznamem"/>
        <w:numPr>
          <w:ilvl w:val="0"/>
          <w:numId w:val="1"/>
        </w:numPr>
      </w:pPr>
      <w:r>
        <w:t>Zlepšení podmínek pro organizování celoroční sportovní činnosti</w:t>
      </w:r>
    </w:p>
    <w:p w:rsidR="004B5DDF" w:rsidRDefault="004B5DDF" w:rsidP="004B5DDF">
      <w:pPr>
        <w:pStyle w:val="Odstavecseseznamem"/>
        <w:numPr>
          <w:ilvl w:val="0"/>
          <w:numId w:val="1"/>
        </w:numPr>
      </w:pPr>
      <w:r>
        <w:t>Zkvalitnění činnosti krajských center talentované mládeže</w:t>
      </w:r>
    </w:p>
    <w:p w:rsidR="004B5DDF" w:rsidRDefault="004B5DDF" w:rsidP="004B5DDF">
      <w:pPr>
        <w:pStyle w:val="Odstavecseseznamem"/>
        <w:numPr>
          <w:ilvl w:val="0"/>
          <w:numId w:val="1"/>
        </w:numPr>
      </w:pPr>
      <w:r>
        <w:t>Zapojení handicapovaných do sportovních aktivit</w:t>
      </w:r>
    </w:p>
    <w:p w:rsidR="004B5DDF" w:rsidRDefault="004B5DDF" w:rsidP="004B5DDF">
      <w:pPr>
        <w:pStyle w:val="Odstavecseseznamem"/>
        <w:numPr>
          <w:ilvl w:val="0"/>
          <w:numId w:val="1"/>
        </w:numPr>
      </w:pPr>
      <w:r>
        <w:t>Pořádání vrcholných sportovních akcí</w:t>
      </w:r>
    </w:p>
    <w:p w:rsidR="004B5DDF" w:rsidRDefault="004B5DDF" w:rsidP="004B5DDF">
      <w:pPr>
        <w:pStyle w:val="Odstavecseseznamem"/>
        <w:numPr>
          <w:ilvl w:val="0"/>
          <w:numId w:val="1"/>
        </w:numPr>
      </w:pPr>
      <w:r>
        <w:t>Všeobecná propagace sportu s využitím úspěchů klubů a sportovců z Vysočiny k přilákání zájemců o sport</w:t>
      </w:r>
    </w:p>
    <w:p w:rsidR="00D542D1" w:rsidRDefault="00A6224B" w:rsidP="00A6224B">
      <w:r>
        <w:t xml:space="preserve">Dokument rozpracovává opatření k uvedeným prioritám navržená Plánem </w:t>
      </w:r>
      <w:r w:rsidR="00213E4F">
        <w:br/>
      </w:r>
      <w:r>
        <w:t>se zaměřením na aktuální rok 202</w:t>
      </w:r>
      <w:r w:rsidR="003E6D8D">
        <w:t>2</w:t>
      </w:r>
      <w:r>
        <w:t>.</w:t>
      </w:r>
    </w:p>
    <w:p w:rsidR="00DD16DD" w:rsidRDefault="00DD16DD" w:rsidP="00DD16DD">
      <w:pPr>
        <w:pStyle w:val="Nadpis1"/>
      </w:pPr>
      <w:r w:rsidRPr="00DD16DD">
        <w:t>Údržba a rozvoj sportovišť a související infrastruktury</w:t>
      </w:r>
    </w:p>
    <w:p w:rsidR="00125A98" w:rsidRDefault="00125A98" w:rsidP="00625D91">
      <w:pPr>
        <w:spacing w:before="120"/>
      </w:pPr>
      <w:r>
        <w:t xml:space="preserve">V Kraji Vysočina jsou sportovní zařízení v majetku obcí, měst, kraje a sportovních organizací, které vyžadují nemalé finanční investice jak do oprav a rekonstrukcí, tak také do vybavenosti. Podpora sportovní infrastruktury v Kraji Vysočina bude </w:t>
      </w:r>
      <w:r w:rsidR="00213E4F">
        <w:br/>
      </w:r>
      <w:r>
        <w:t>ve sledovaném období rozdělena na tři části:</w:t>
      </w:r>
    </w:p>
    <w:p w:rsidR="00125A98" w:rsidRDefault="003E6D8D" w:rsidP="00A24D48">
      <w:pPr>
        <w:pStyle w:val="Odstavecseseznamem"/>
        <w:numPr>
          <w:ilvl w:val="0"/>
          <w:numId w:val="6"/>
        </w:numPr>
        <w:spacing w:before="120" w:line="360" w:lineRule="auto"/>
        <w:ind w:left="714" w:hanging="357"/>
      </w:pPr>
      <w:r>
        <w:t>Program Sportoviště, klubovny a táborové základny 2022</w:t>
      </w:r>
      <w:r w:rsidR="00057049">
        <w:t xml:space="preserve"> (Fond Vysočiny)</w:t>
      </w:r>
      <w:r w:rsidR="00125A98">
        <w:t>;</w:t>
      </w:r>
    </w:p>
    <w:p w:rsidR="00125A98" w:rsidRDefault="00125A98" w:rsidP="00A24D48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 w:rsidRPr="00125A98">
        <w:t>Sportovní infrastruktura krajských škol a školských zařízení</w:t>
      </w:r>
      <w:r>
        <w:t>;</w:t>
      </w:r>
    </w:p>
    <w:p w:rsidR="00125A98" w:rsidRPr="00125A98" w:rsidRDefault="00625D91" w:rsidP="00A24D48">
      <w:pPr>
        <w:pStyle w:val="Odstavecseseznamem"/>
        <w:numPr>
          <w:ilvl w:val="0"/>
          <w:numId w:val="6"/>
        </w:numPr>
        <w:spacing w:line="360" w:lineRule="auto"/>
        <w:ind w:left="714" w:hanging="357"/>
      </w:pPr>
      <w:r w:rsidRPr="00625D91">
        <w:t xml:space="preserve">Podpora výstavby a technického zhodnocení sportovišť </w:t>
      </w:r>
      <w:r w:rsidR="00057049">
        <w:t xml:space="preserve">celokrajského či nadregionálního významu </w:t>
      </w:r>
      <w:r w:rsidRPr="00625D91">
        <w:t>formou individuálních dotací</w:t>
      </w:r>
      <w:r>
        <w:t>.</w:t>
      </w:r>
    </w:p>
    <w:p w:rsidR="00BE714D" w:rsidRDefault="00DD16DD" w:rsidP="003E6D8D">
      <w:pPr>
        <w:pStyle w:val="Nadpis2"/>
      </w:pPr>
      <w:r>
        <w:t xml:space="preserve">Program </w:t>
      </w:r>
      <w:r w:rsidR="003E6D8D" w:rsidRPr="003E6D8D">
        <w:t>Sportoviště, klubovny a táborové základny 2022</w:t>
      </w:r>
      <w:r w:rsidR="009B4249">
        <w:t xml:space="preserve"> (Fond Vysočiny)</w:t>
      </w:r>
    </w:p>
    <w:p w:rsidR="00FC7C00" w:rsidRDefault="009C2B9B" w:rsidP="007A5651">
      <w:pPr>
        <w:spacing w:before="120"/>
      </w:pPr>
      <w:r>
        <w:t xml:space="preserve">Program na podporu </w:t>
      </w:r>
      <w:r w:rsidR="007A5651">
        <w:t xml:space="preserve">modernizace a údržby zařízení pro sportovní, tělovýchovné </w:t>
      </w:r>
      <w:r w:rsidR="00057049">
        <w:br/>
      </w:r>
      <w:r w:rsidR="007A5651">
        <w:t>a zájmové aktivity, a to z důvodu zlepšení podmínek pro sportovní a volnočasové vyžití obyvatel regionu. Stávající program Sportoviště je nově rozšířen o dva podprogramy – Klubovny a Táborové základny. Alokované částka určená na obnovu sportovišť činí celkem 3 750 tis. Kč. Jedná se o navýšení oproti loňskému roku o 1 250 tis. Kč. Zbývající dva podprogramy mají každý alokovanou částku ve výši 500 tis. Kč.</w:t>
      </w:r>
    </w:p>
    <w:p w:rsidR="00580266" w:rsidRDefault="00A668FC" w:rsidP="00580266">
      <w:pPr>
        <w:spacing w:before="120"/>
      </w:pPr>
      <w:r>
        <w:t>Oproti roku 2021 dále došlo ke snížen</w:t>
      </w:r>
      <w:r w:rsidR="00546093">
        <w:t>í minimálního podílu příjemce z</w:t>
      </w:r>
      <w:r>
        <w:t xml:space="preserve"> 60 % na 50 % </w:t>
      </w:r>
      <w:r w:rsidR="00213E4F">
        <w:br/>
      </w:r>
      <w:r>
        <w:t xml:space="preserve">u všech podprogramů a navýšení minimální a maximální výše požadované dotace </w:t>
      </w:r>
      <w:r w:rsidR="00F95514">
        <w:br/>
      </w:r>
      <w:r>
        <w:t xml:space="preserve">z 10 tis. Kč a 100 tis. Kč na 30 tis. Kč a 200 tis. Kč u podprogramu A Sportoviště. </w:t>
      </w:r>
    </w:p>
    <w:p w:rsidR="00A668FC" w:rsidRPr="00E656B2" w:rsidRDefault="00A668FC" w:rsidP="00580266">
      <w:pPr>
        <w:spacing w:before="120"/>
      </w:pPr>
      <w:r>
        <w:lastRenderedPageBreak/>
        <w:t xml:space="preserve">U zbývajících podprogramů činí minimální a maximální výše dotace 20 tis. Kč </w:t>
      </w:r>
      <w:r w:rsidR="00F95514">
        <w:br/>
      </w:r>
      <w:r>
        <w:t xml:space="preserve">a 80 tis. </w:t>
      </w:r>
      <w:r w:rsidRPr="00E656B2">
        <w:t>Kč.</w:t>
      </w:r>
    </w:p>
    <w:p w:rsidR="00DD16DD" w:rsidRPr="00E656B2" w:rsidRDefault="009C43B9" w:rsidP="003B299C">
      <w:pPr>
        <w:pStyle w:val="Nadpis2"/>
        <w:spacing w:before="120" w:after="120"/>
        <w:ind w:left="578" w:hanging="578"/>
      </w:pPr>
      <w:r w:rsidRPr="00E656B2">
        <w:t>Sportovní infrastruktura krajských škol a školských zařízení</w:t>
      </w:r>
    </w:p>
    <w:p w:rsidR="009C43B9" w:rsidRDefault="002B6EDA" w:rsidP="00513CB8">
      <w:r>
        <w:t>Koncem roku 2021</w:t>
      </w:r>
      <w:r w:rsidR="00026A7F">
        <w:t xml:space="preserve"> </w:t>
      </w:r>
      <w:r>
        <w:t>byla zahájena stavba nové sportovní haly</w:t>
      </w:r>
      <w:r w:rsidR="00026A7F">
        <w:t xml:space="preserve"> ve Žďáře nad Sázavou, kterou </w:t>
      </w:r>
      <w:r w:rsidR="003A7C7F">
        <w:t xml:space="preserve">budou využívat </w:t>
      </w:r>
      <w:r>
        <w:t>kromě</w:t>
      </w:r>
      <w:r w:rsidR="003A7C7F">
        <w:t xml:space="preserve"> krajských škol (</w:t>
      </w:r>
      <w:r w:rsidR="0068155F" w:rsidRPr="0068155F">
        <w:t>Vyšší odborná škola a Střední průmyslová škola Žďár nad Sázavou</w:t>
      </w:r>
      <w:r w:rsidR="003A7C7F">
        <w:t xml:space="preserve">, Gymnázium Žďár nad Sázavou a </w:t>
      </w:r>
      <w:r w:rsidR="005F6E59" w:rsidRPr="005F6E59">
        <w:t>Střední zdravotnická škola a Vyšší odborná škola zdravotnická Žďár nad Sázavou</w:t>
      </w:r>
      <w:r w:rsidR="003A7C7F">
        <w:t xml:space="preserve">) také spolky a široká veřejnost. Na výstavbě haly finančně </w:t>
      </w:r>
      <w:r w:rsidR="00E656B2">
        <w:t xml:space="preserve">participuje kraj a </w:t>
      </w:r>
      <w:r w:rsidR="003A7C7F">
        <w:t xml:space="preserve">město Žďár </w:t>
      </w:r>
      <w:r w:rsidR="00F95514">
        <w:br/>
      </w:r>
      <w:r w:rsidR="003A7C7F">
        <w:t xml:space="preserve">nad Sázavou a žádost o dotaci byla podána rovněž do výzvy Regiony 2021 vyhlášené Národní sportovní agenturou. </w:t>
      </w:r>
      <w:r w:rsidR="00E656B2">
        <w:t>Sportovní hala by měla sloužit školám a veřejnosti v polovině roku 2023.</w:t>
      </w:r>
    </w:p>
    <w:p w:rsidR="000B2F2F" w:rsidRPr="00492EAD" w:rsidRDefault="00886D2A" w:rsidP="00513CB8">
      <w:r w:rsidRPr="00492EAD">
        <w:t xml:space="preserve">Dále </w:t>
      </w:r>
      <w:r w:rsidR="000B2F2F" w:rsidRPr="00492EAD">
        <w:t>by měly</w:t>
      </w:r>
      <w:r w:rsidRPr="00492EAD">
        <w:t xml:space="preserve"> být v roce 2022 </w:t>
      </w:r>
      <w:r w:rsidR="000B2F2F" w:rsidRPr="00492EAD">
        <w:t>realizovány následující projekty krajských škol, jejichž součástí je také rekonstrukce sportovišť:</w:t>
      </w:r>
    </w:p>
    <w:p w:rsidR="000B2F2F" w:rsidRPr="00492EAD" w:rsidRDefault="00BB216F" w:rsidP="000B2F2F">
      <w:pPr>
        <w:pStyle w:val="Odstavecseseznamem"/>
        <w:numPr>
          <w:ilvl w:val="0"/>
          <w:numId w:val="12"/>
        </w:numPr>
      </w:pPr>
      <w:r w:rsidRPr="00492EAD">
        <w:t>„</w:t>
      </w:r>
      <w:r w:rsidR="004449D6" w:rsidRPr="00492EAD">
        <w:t>Rekonstrukce tělocvičen a nádvoří</w:t>
      </w:r>
      <w:r w:rsidRPr="00492EAD">
        <w:t>“</w:t>
      </w:r>
      <w:r w:rsidR="004449D6" w:rsidRPr="00492EAD">
        <w:t xml:space="preserve"> Střední školy stavební Třebíč</w:t>
      </w:r>
      <w:r w:rsidR="000B2F2F" w:rsidRPr="00492EAD">
        <w:t>;</w:t>
      </w:r>
    </w:p>
    <w:p w:rsidR="00886D2A" w:rsidRPr="00492EAD" w:rsidRDefault="00BB216F" w:rsidP="000B2F2F">
      <w:pPr>
        <w:pStyle w:val="Odstavecseseznamem"/>
        <w:numPr>
          <w:ilvl w:val="0"/>
          <w:numId w:val="12"/>
        </w:numPr>
      </w:pPr>
      <w:r w:rsidRPr="00492EAD">
        <w:t>„Revitalizace dvorního traktu“</w:t>
      </w:r>
      <w:r w:rsidR="000B2F2F" w:rsidRPr="00492EAD">
        <w:t xml:space="preserve"> Gymnázia Jihlava</w:t>
      </w:r>
      <w:r w:rsidR="00F232D1" w:rsidRPr="00492EAD">
        <w:t xml:space="preserve"> a Střední školy průmyslové, technické a automobilní Jihlava</w:t>
      </w:r>
      <w:r w:rsidR="000B2F2F" w:rsidRPr="00492EAD">
        <w:t>;</w:t>
      </w:r>
    </w:p>
    <w:p w:rsidR="000B2F2F" w:rsidRPr="00492EAD" w:rsidRDefault="000B2F2F" w:rsidP="000B2F2F">
      <w:pPr>
        <w:pStyle w:val="Odstavecseseznamem"/>
        <w:numPr>
          <w:ilvl w:val="0"/>
          <w:numId w:val="12"/>
        </w:numPr>
      </w:pPr>
      <w:r w:rsidRPr="00492EAD">
        <w:t>„Rekonstrukce původní přístavby“ Gymnázia Třebíč.</w:t>
      </w:r>
    </w:p>
    <w:p w:rsidR="00352538" w:rsidRPr="00352538" w:rsidRDefault="00731F4F" w:rsidP="00352538">
      <w:pPr>
        <w:pStyle w:val="Nadpis2"/>
      </w:pPr>
      <w:r>
        <w:t>Podpora výstavby a technického zhodnocení sportovišť formou individuálních dotací</w:t>
      </w:r>
    </w:p>
    <w:p w:rsidR="00352538" w:rsidRDefault="00731F4F" w:rsidP="00352538">
      <w:pPr>
        <w:spacing w:before="120"/>
      </w:pPr>
      <w:r w:rsidRPr="00731F4F">
        <w:t xml:space="preserve">V případě výstavby či </w:t>
      </w:r>
      <w:r w:rsidR="00352538">
        <w:t>technického zhodnocení</w:t>
      </w:r>
      <w:r w:rsidRPr="00731F4F">
        <w:t xml:space="preserve"> významných a strategických sportovních zařízení</w:t>
      </w:r>
      <w:r w:rsidR="00352538">
        <w:t xml:space="preserve"> (případně sportovních zařízení, kde se bude konat důležitá mezinárodní sportovní akce),</w:t>
      </w:r>
      <w:r w:rsidRPr="00731F4F">
        <w:t xml:space="preserve"> jejichž realizace vyžaduje značný objem finančních prostředků, slouží dotace poskytnuté na základě in</w:t>
      </w:r>
      <w:r w:rsidR="00352538">
        <w:t xml:space="preserve">dividuálně nastavených podmínek. </w:t>
      </w:r>
    </w:p>
    <w:p w:rsidR="00352538" w:rsidRDefault="00352538" w:rsidP="00352538">
      <w:r w:rsidRPr="00352538">
        <w:t xml:space="preserve">Při rozhodování o udělení dotace a o její výši se </w:t>
      </w:r>
      <w:r w:rsidR="00F72CA1">
        <w:t xml:space="preserve">postupuje podle </w:t>
      </w:r>
      <w:r w:rsidR="0068155F">
        <w:t>Metodického postupu</w:t>
      </w:r>
      <w:r w:rsidR="00F72CA1">
        <w:t xml:space="preserve"> pro posuzování individuálních žádostí v oblasti </w:t>
      </w:r>
      <w:r w:rsidR="0068155F">
        <w:t>investic do významné sportovní infrastruktury</w:t>
      </w:r>
      <w:r w:rsidR="00F72CA1">
        <w:t>. O výši dotace (podílu financování) rozhoduje bodování dle následujících kritérií</w:t>
      </w:r>
      <w:r w:rsidRPr="00352538">
        <w:t>: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 xml:space="preserve">Na realizaci projektu se podílí více vnějších subjektů (např. MŠMT ČR, </w:t>
      </w:r>
      <w:r w:rsidR="00F95514">
        <w:br/>
      </w:r>
      <w:r w:rsidR="0068155F">
        <w:t xml:space="preserve">MMR ČR, </w:t>
      </w:r>
      <w:r>
        <w:t>NSA, obec…) se spoluúčastí alespoň 10</w:t>
      </w:r>
      <w:r w:rsidR="004D41F7">
        <w:t xml:space="preserve"> %;</w:t>
      </w:r>
      <w:r>
        <w:t xml:space="preserve"> 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 xml:space="preserve">Sportoviště bude bezúplatně využíváno v rámci výuky tělesné výchovy </w:t>
      </w:r>
      <w:r w:rsidR="00213E4F">
        <w:br/>
      </w:r>
      <w:r>
        <w:t xml:space="preserve">ze strany škol </w:t>
      </w:r>
      <w:r w:rsidR="0068155F">
        <w:t xml:space="preserve">a školských zařízení </w:t>
      </w:r>
      <w:r>
        <w:t>se sídlem v Kraji Vysoč</w:t>
      </w:r>
      <w:r w:rsidR="00BF543D">
        <w:t>ina</w:t>
      </w:r>
      <w:r w:rsidR="004D41F7">
        <w:t>;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>Infrastruktura bude pravidelně využívána dalšími sportovními kluby v rámci jejich činnosti spo</w:t>
      </w:r>
      <w:r w:rsidR="004D41F7">
        <w:t>jené s tréninkem dětí a mládeže;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>Organizace s přiděleným statutem Krajského centra talentované mlá</w:t>
      </w:r>
      <w:r w:rsidR="004D41F7">
        <w:t>deže (KCTM) má možnost využívat</w:t>
      </w:r>
      <w:r w:rsidR="0068155F">
        <w:t xml:space="preserve"> sportoviště</w:t>
      </w:r>
      <w:r w:rsidR="004D41F7">
        <w:t>;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>Sportoviště bude přístupné pro širokou veřejnost (neprofesionální sportovce)</w:t>
      </w:r>
      <w:r w:rsidR="000E3191">
        <w:t xml:space="preserve"> bezúplatně či za provozní náklady</w:t>
      </w:r>
      <w:r w:rsidR="00BF543D">
        <w:t>;</w:t>
      </w:r>
      <w:r>
        <w:t xml:space="preserve"> 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>Realizace projektu je strategická z hlediska poptávky v daném regionu</w:t>
      </w:r>
      <w:r w:rsidR="004D41F7">
        <w:t>;</w:t>
      </w:r>
      <w:r>
        <w:t xml:space="preserve"> 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lastRenderedPageBreak/>
        <w:t>Projekt vychází z Plánu rozvoje sportu v Kraji Vysočina a Strategie rozvoje Kraje Vysočina a přispívá k jeho propagaci</w:t>
      </w:r>
      <w:r w:rsidR="004D41F7">
        <w:t>;</w:t>
      </w:r>
    </w:p>
    <w:p w:rsidR="00F72CA1" w:rsidRDefault="00F72CA1" w:rsidP="00F72CA1">
      <w:pPr>
        <w:pStyle w:val="Odstavecseseznamem"/>
        <w:numPr>
          <w:ilvl w:val="0"/>
          <w:numId w:val="11"/>
        </w:numPr>
      </w:pPr>
      <w:r>
        <w:t>Sportoviště umožňuje svými parametry a přidruženou infrastrukturou pořádání národních a mezinárodních soutěží</w:t>
      </w:r>
      <w:r w:rsidR="00B868FC">
        <w:t>;</w:t>
      </w:r>
    </w:p>
    <w:p w:rsidR="00B868FC" w:rsidRDefault="00B868FC" w:rsidP="00B868FC">
      <w:pPr>
        <w:pStyle w:val="Odstavecseseznamem"/>
        <w:numPr>
          <w:ilvl w:val="0"/>
          <w:numId w:val="11"/>
        </w:numPr>
      </w:pPr>
      <w:r w:rsidRPr="00B868FC">
        <w:t xml:space="preserve">Projekt nemůže prokazatelně získat podporu z jiných zdrojů financování </w:t>
      </w:r>
      <w:r w:rsidR="00213E4F">
        <w:br/>
      </w:r>
      <w:r w:rsidRPr="00B868FC">
        <w:t>v rozsahu financování do 50 % způsobilých výdajů</w:t>
      </w:r>
      <w:r>
        <w:t>.</w:t>
      </w:r>
    </w:p>
    <w:p w:rsidR="00711B96" w:rsidRPr="00057049" w:rsidRDefault="00FD28AE" w:rsidP="00711B96">
      <w:r>
        <w:t>Kraj se bude podílet na financování doloženého projektu maximálně do výše 30 % z celkových uznatelný</w:t>
      </w:r>
      <w:r w:rsidRPr="00057049">
        <w:t>ch nákladů. V případě významného str</w:t>
      </w:r>
      <w:r w:rsidR="00B26A59" w:rsidRPr="00057049">
        <w:t xml:space="preserve">ategického sportovního zařízení určeného k pořádání akcí národního a mezinárodního významu </w:t>
      </w:r>
      <w:r w:rsidRPr="00057049">
        <w:t>může dotace dosáhnout až 50 % z celkových uznatelných nákladů projektu.</w:t>
      </w:r>
      <w:r w:rsidR="00711B96" w:rsidRPr="00057049">
        <w:t xml:space="preserve"> </w:t>
      </w:r>
    </w:p>
    <w:p w:rsidR="00AB54B2" w:rsidRPr="00057049" w:rsidRDefault="00711B96" w:rsidP="00711B96">
      <w:r w:rsidRPr="00057049">
        <w:t xml:space="preserve">Mezi dlouhodobé a strategicky významné projekty národního významu se momentálně řadí Vysočina </w:t>
      </w:r>
      <w:proofErr w:type="spellStart"/>
      <w:r w:rsidRPr="00057049">
        <w:t>arena</w:t>
      </w:r>
      <w:proofErr w:type="spellEnd"/>
      <w:r w:rsidRPr="00057049">
        <w:t xml:space="preserve"> v Novém Městě na Moravě a vybudování Horácké </w:t>
      </w:r>
      <w:r w:rsidR="00F843CD" w:rsidRPr="00057049">
        <w:t xml:space="preserve">multifunkční </w:t>
      </w:r>
      <w:r w:rsidRPr="00057049">
        <w:t>arény v</w:t>
      </w:r>
      <w:r w:rsidR="00F843CD" w:rsidRPr="00057049">
        <w:t> </w:t>
      </w:r>
      <w:r w:rsidRPr="00057049">
        <w:t>Jihlavě</w:t>
      </w:r>
      <w:r w:rsidR="00F843CD" w:rsidRPr="00057049">
        <w:t xml:space="preserve">, </w:t>
      </w:r>
      <w:r w:rsidR="00AB54B2" w:rsidRPr="00057049">
        <w:t>na kterou</w:t>
      </w:r>
      <w:r w:rsidR="00F843CD" w:rsidRPr="00057049">
        <w:t xml:space="preserve"> v roce 2021 schválilo krajské zastupitelstvo částk</w:t>
      </w:r>
      <w:r w:rsidR="00AB54B2" w:rsidRPr="00057049">
        <w:t>u</w:t>
      </w:r>
      <w:r w:rsidR="00F843CD" w:rsidRPr="00057049">
        <w:t xml:space="preserve"> </w:t>
      </w:r>
      <w:r w:rsidR="00F95514">
        <w:br/>
      </w:r>
      <w:r w:rsidR="00F843CD" w:rsidRPr="00057049">
        <w:t>500 </w:t>
      </w:r>
      <w:r w:rsidR="00AB54B2" w:rsidRPr="00057049">
        <w:t xml:space="preserve">mil. </w:t>
      </w:r>
      <w:r w:rsidR="00F843CD" w:rsidRPr="00057049">
        <w:t xml:space="preserve">Kč s tím, že </w:t>
      </w:r>
      <w:r w:rsidR="00AB54B2" w:rsidRPr="00057049">
        <w:t>dotace bude průběžně vyplácena v následujících třech letech</w:t>
      </w:r>
      <w:r w:rsidRPr="00057049">
        <w:t>.</w:t>
      </w:r>
      <w:r w:rsidR="00AB54B2" w:rsidRPr="00057049">
        <w:t xml:space="preserve"> V roce 2022 se bude jednat o částku ve výši 150 mil. Kč.</w:t>
      </w:r>
      <w:r w:rsidRPr="00057049">
        <w:t xml:space="preserve"> </w:t>
      </w:r>
    </w:p>
    <w:p w:rsidR="00220FBF" w:rsidRDefault="00F7275E" w:rsidP="00711B96">
      <w:r>
        <w:t>Dále se mezi</w:t>
      </w:r>
      <w:r w:rsidR="00711B96" w:rsidRPr="00057049">
        <w:t xml:space="preserve"> </w:t>
      </w:r>
      <w:r w:rsidR="001927BC" w:rsidRPr="00057049">
        <w:t xml:space="preserve">významné </w:t>
      </w:r>
      <w:r w:rsidR="00711B96" w:rsidRPr="00057049">
        <w:t xml:space="preserve">strategické </w:t>
      </w:r>
      <w:r w:rsidR="001927BC" w:rsidRPr="00057049">
        <w:t>projekty</w:t>
      </w:r>
      <w:r>
        <w:t xml:space="preserve"> řadí</w:t>
      </w:r>
      <w:r w:rsidR="001927BC" w:rsidRPr="00057049">
        <w:t xml:space="preserve"> „</w:t>
      </w:r>
      <w:r w:rsidR="00FB78F0" w:rsidRPr="00057049">
        <w:t>Revitalizace zimního stadionu v Třebíči“,</w:t>
      </w:r>
      <w:r>
        <w:t xml:space="preserve"> na který byl koncem roku 2021 Zastupitelstvem Kraje Vysočina schválen závazek v maximální výši 59,5 mil. Kč. Tyto prostředky budou po splnění podmínek </w:t>
      </w:r>
      <w:r w:rsidR="00220FBF">
        <w:t xml:space="preserve">postupně </w:t>
      </w:r>
      <w:r>
        <w:t xml:space="preserve">poskytnuty městu Třebíč v letech 2023 – 2025. </w:t>
      </w:r>
    </w:p>
    <w:p w:rsidR="00711B96" w:rsidRDefault="00145E50" w:rsidP="00711B96">
      <w:r>
        <w:t xml:space="preserve">Mezi </w:t>
      </w:r>
      <w:r w:rsidR="00FB4BEA">
        <w:t xml:space="preserve">další </w:t>
      </w:r>
      <w:r>
        <w:t xml:space="preserve">významné sportovní </w:t>
      </w:r>
      <w:r w:rsidR="00FB78F0" w:rsidRPr="00057049">
        <w:t>projekt</w:t>
      </w:r>
      <w:r>
        <w:t>y roku 2022 spadá projekt</w:t>
      </w:r>
      <w:r w:rsidR="00FB78F0" w:rsidRPr="00057049">
        <w:t xml:space="preserve"> baseballového týmu Třebíč </w:t>
      </w:r>
      <w:proofErr w:type="spellStart"/>
      <w:r w:rsidR="00FB78F0" w:rsidRPr="00057049">
        <w:t>Nuclears</w:t>
      </w:r>
      <w:proofErr w:type="spellEnd"/>
      <w:r w:rsidR="00FB78F0" w:rsidRPr="00057049">
        <w:t xml:space="preserve"> </w:t>
      </w:r>
      <w:r w:rsidR="0069240D" w:rsidRPr="00057049">
        <w:t xml:space="preserve">- </w:t>
      </w:r>
      <w:r w:rsidR="00E10C4B" w:rsidRPr="00057049">
        <w:t>„Modernizace areálu Na Hvězdě“</w:t>
      </w:r>
      <w:r>
        <w:t xml:space="preserve">, </w:t>
      </w:r>
      <w:r w:rsidR="00D00713">
        <w:t>jehož realizace zvyšuj</w:t>
      </w:r>
      <w:r w:rsidR="005D42E5">
        <w:t>e</w:t>
      </w:r>
      <w:r w:rsidR="00D00713">
        <w:t xml:space="preserve"> šance uspořádat v roce 2023 v Třebíči </w:t>
      </w:r>
      <w:r>
        <w:t>Mistro</w:t>
      </w:r>
      <w:r w:rsidR="00D36FBA">
        <w:t>v</w:t>
      </w:r>
      <w:r>
        <w:t>ství Evropy mužů v</w:t>
      </w:r>
      <w:r w:rsidR="00D00713">
        <w:t> </w:t>
      </w:r>
      <w:r>
        <w:t>baseballu</w:t>
      </w:r>
      <w:r w:rsidR="00D00713">
        <w:t>.</w:t>
      </w:r>
    </w:p>
    <w:p w:rsidR="000B2F2F" w:rsidRPr="00FB78F0" w:rsidRDefault="004A6832" w:rsidP="00711B96">
      <w:r w:rsidRPr="00492EAD">
        <w:t xml:space="preserve">Město Jihlava rovněž předloží </w:t>
      </w:r>
      <w:r w:rsidR="00695C35" w:rsidRPr="00492EAD">
        <w:t xml:space="preserve">projektové </w:t>
      </w:r>
      <w:r w:rsidRPr="00492EAD">
        <w:t xml:space="preserve">záměry týkající se </w:t>
      </w:r>
      <w:r w:rsidR="00CD29A7" w:rsidRPr="00492EAD">
        <w:t>výměny umělého povrchu fotbalového hřiště a opravy tartanu atletické dráhy Na Stoupách</w:t>
      </w:r>
      <w:r w:rsidRPr="00492EAD">
        <w:t xml:space="preserve">, zastřešení </w:t>
      </w:r>
      <w:r w:rsidR="00CD29A7" w:rsidRPr="00492EAD">
        <w:t xml:space="preserve">fotbalového </w:t>
      </w:r>
      <w:proofErr w:type="gramStart"/>
      <w:r w:rsidRPr="00492EAD">
        <w:t>hřiště</w:t>
      </w:r>
      <w:r w:rsidR="00CD29A7" w:rsidRPr="00492EAD">
        <w:t xml:space="preserve"> s umělých povrchem</w:t>
      </w:r>
      <w:proofErr w:type="gramEnd"/>
      <w:r w:rsidR="00CD29A7" w:rsidRPr="00492EAD">
        <w:t xml:space="preserve"> u stadionu na Jiráskově ulici</w:t>
      </w:r>
      <w:r w:rsidRPr="00492EAD">
        <w:t xml:space="preserve">, </w:t>
      </w:r>
      <w:r w:rsidR="00492EAD">
        <w:t xml:space="preserve">rekonstrukce </w:t>
      </w:r>
      <w:r w:rsidRPr="00492EAD">
        <w:t xml:space="preserve">tělocvičny a </w:t>
      </w:r>
      <w:r w:rsidR="00CD29A7" w:rsidRPr="00492EAD">
        <w:t xml:space="preserve">případně </w:t>
      </w:r>
      <w:r w:rsidRPr="00492EAD">
        <w:t xml:space="preserve">výstavby </w:t>
      </w:r>
      <w:proofErr w:type="spellStart"/>
      <w:r w:rsidRPr="00492EAD">
        <w:t>workoutových</w:t>
      </w:r>
      <w:proofErr w:type="spellEnd"/>
      <w:r w:rsidRPr="00492EAD">
        <w:t xml:space="preserve"> hřišť.</w:t>
      </w:r>
      <w:bookmarkStart w:id="0" w:name="_GoBack"/>
      <w:bookmarkEnd w:id="0"/>
    </w:p>
    <w:p w:rsidR="00364B24" w:rsidRPr="00364B24" w:rsidRDefault="00364B24" w:rsidP="00364B24">
      <w:pPr>
        <w:pStyle w:val="Nadpis1"/>
      </w:pPr>
      <w:r w:rsidRPr="00364B24">
        <w:t>Zlepšení podmínek pro organizování celoroční sportovní činnosti</w:t>
      </w:r>
    </w:p>
    <w:p w:rsidR="00364B24" w:rsidRPr="00DF156D" w:rsidRDefault="00364B24" w:rsidP="00364B24">
      <w:pPr>
        <w:spacing w:before="120"/>
      </w:pPr>
      <w:r>
        <w:t xml:space="preserve">Jedním ze základních cílů kraje v oblasti sportu je </w:t>
      </w:r>
      <w:r w:rsidRPr="00126604">
        <w:t xml:space="preserve">vytvářet podmínky pro zapojení </w:t>
      </w:r>
      <w:r w:rsidR="00213E4F">
        <w:br/>
      </w:r>
      <w:r w:rsidRPr="00126604">
        <w:t xml:space="preserve">do pravidelných i příležitostných pohybových aktivit široké vrstvy obyvatel se zaměřením na děti a mládež a dosáhnout tak zvýšení zájmu o aktivní pohyb, sport </w:t>
      </w:r>
      <w:r w:rsidR="00911DE6">
        <w:br/>
      </w:r>
      <w:r w:rsidRPr="00126604">
        <w:t>a zdravý životní styl v jejich hodnotovém žebříčku</w:t>
      </w:r>
      <w:r>
        <w:t>. Podpora k dosažení výše uvedeného cíle bude ve sledovaném období probíhat ve dvou rovinách:</w:t>
      </w:r>
    </w:p>
    <w:p w:rsidR="00364B24" w:rsidRDefault="00364B24" w:rsidP="00364B24">
      <w:pPr>
        <w:numPr>
          <w:ilvl w:val="0"/>
          <w:numId w:val="5"/>
        </w:numPr>
      </w:pPr>
      <w:r>
        <w:t xml:space="preserve">Program </w:t>
      </w:r>
      <w:proofErr w:type="gramStart"/>
      <w:r>
        <w:t>Sportujeme</w:t>
      </w:r>
      <w:proofErr w:type="gramEnd"/>
      <w:r>
        <w:t xml:space="preserve"> a volný čas</w:t>
      </w:r>
      <w:r w:rsidR="00663D3B">
        <w:t xml:space="preserve"> 202</w:t>
      </w:r>
      <w:r w:rsidR="00BD54B7">
        <w:t>2</w:t>
      </w:r>
      <w:r w:rsidR="009B4249">
        <w:t xml:space="preserve"> (Fond Vysočiny)</w:t>
      </w:r>
      <w:r>
        <w:t>;</w:t>
      </w:r>
    </w:p>
    <w:p w:rsidR="00364B24" w:rsidRDefault="00364B24" w:rsidP="00364B24">
      <w:pPr>
        <w:numPr>
          <w:ilvl w:val="0"/>
          <w:numId w:val="5"/>
        </w:numPr>
      </w:pPr>
      <w:r>
        <w:t>Podpora Všesportovního kolegia Kraje Vysočina.</w:t>
      </w:r>
    </w:p>
    <w:p w:rsidR="00960BFB" w:rsidRDefault="00960BFB" w:rsidP="00960BFB">
      <w:r>
        <w:t>Kraj Vysočina také podporuje vrcholový sport dospělých</w:t>
      </w:r>
      <w:r w:rsidR="001D3F9D">
        <w:t>.</w:t>
      </w:r>
      <w:r>
        <w:t xml:space="preserve"> </w:t>
      </w:r>
      <w:r w:rsidR="009913A0">
        <w:t>Pravidelně se například podporují házenkáři z Nového Veselí.</w:t>
      </w:r>
      <w:r>
        <w:t xml:space="preserve"> </w:t>
      </w:r>
      <w:r w:rsidR="007A63C2">
        <w:t xml:space="preserve">V případě, že </w:t>
      </w:r>
      <w:r w:rsidR="001D3F9D">
        <w:t xml:space="preserve">zaslaný projekt nespadá </w:t>
      </w:r>
      <w:r w:rsidR="00213E4F">
        <w:br/>
      </w:r>
      <w:r w:rsidR="001D3F9D">
        <w:lastRenderedPageBreak/>
        <w:t xml:space="preserve">do </w:t>
      </w:r>
      <w:r w:rsidR="00225621">
        <w:t xml:space="preserve">programů </w:t>
      </w:r>
      <w:r w:rsidR="001D3F9D">
        <w:t>Fondu Vysočiny, lze danou žádost řešit individuální formou</w:t>
      </w:r>
      <w:r w:rsidR="00225621">
        <w:t xml:space="preserve"> přes drobnou podporu</w:t>
      </w:r>
      <w:r w:rsidR="007A63C2">
        <w:t xml:space="preserve"> sportu</w:t>
      </w:r>
      <w:r w:rsidR="00225621">
        <w:t>, na kterou byla v roce 202</w:t>
      </w:r>
      <w:r w:rsidR="00BD54B7">
        <w:t>2</w:t>
      </w:r>
      <w:r w:rsidR="00225621">
        <w:t xml:space="preserve"> schválena alokace ve výši</w:t>
      </w:r>
      <w:r w:rsidR="00F83899">
        <w:t xml:space="preserve"> 2</w:t>
      </w:r>
      <w:r w:rsidR="007A63C2">
        <w:t>50 tis. Kč</w:t>
      </w:r>
      <w:r w:rsidR="00225621">
        <w:t>.</w:t>
      </w:r>
    </w:p>
    <w:p w:rsidR="006774B5" w:rsidRDefault="006774B5" w:rsidP="006774B5">
      <w:pPr>
        <w:pStyle w:val="Nadpis2"/>
      </w:pPr>
      <w:r>
        <w:t xml:space="preserve">Program </w:t>
      </w:r>
      <w:proofErr w:type="gramStart"/>
      <w:r>
        <w:t>Sportujeme</w:t>
      </w:r>
      <w:proofErr w:type="gramEnd"/>
      <w:r>
        <w:t xml:space="preserve"> a volný čas</w:t>
      </w:r>
      <w:r w:rsidR="00663D3B">
        <w:t xml:space="preserve"> 202</w:t>
      </w:r>
      <w:r w:rsidR="001A55E1">
        <w:t>2</w:t>
      </w:r>
      <w:r w:rsidR="009B4249">
        <w:t xml:space="preserve"> (Fond Vysočiny)</w:t>
      </w:r>
    </w:p>
    <w:p w:rsidR="006774B5" w:rsidRDefault="00663D3B" w:rsidP="006774B5">
      <w:pPr>
        <w:spacing w:before="120"/>
      </w:pPr>
      <w:r>
        <w:t>Jedná se o p</w:t>
      </w:r>
      <w:r w:rsidRPr="00663D3B">
        <w:t>rogram na podporu dlouhodobé a pravidelné sportovní a volnočasové činnosti dětí a mládeže</w:t>
      </w:r>
      <w:r>
        <w:t xml:space="preserve">. </w:t>
      </w:r>
      <w:r w:rsidR="00464071" w:rsidRPr="00464071">
        <w:t>V roce 2019 do</w:t>
      </w:r>
      <w:r w:rsidR="00464071">
        <w:t>šlo</w:t>
      </w:r>
      <w:r w:rsidR="00464071" w:rsidRPr="00464071">
        <w:t xml:space="preserve"> ke spojení do té doby oddělených programů – Sportujeme a Volný čas s ohledem na jejich obdobné zaměření. </w:t>
      </w:r>
      <w:r w:rsidR="00464071">
        <w:t>Oba programy si však ponechaly</w:t>
      </w:r>
      <w:r w:rsidR="00464071" w:rsidRPr="00464071">
        <w:t xml:space="preserve"> svá specifika a </w:t>
      </w:r>
      <w:r w:rsidR="00464071">
        <w:t>jsou</w:t>
      </w:r>
      <w:r w:rsidR="00464071" w:rsidRPr="00464071">
        <w:t xml:space="preserve"> rozděleny do </w:t>
      </w:r>
      <w:r w:rsidR="00464071">
        <w:t xml:space="preserve">dvou </w:t>
      </w:r>
      <w:r w:rsidR="00464071" w:rsidRPr="00464071">
        <w:t>podprogramů.</w:t>
      </w:r>
      <w:r w:rsidR="00464071">
        <w:t xml:space="preserve"> Celková schválená alokovaná částka tohoto programu na rok 202</w:t>
      </w:r>
      <w:r w:rsidR="009613C4">
        <w:t>2</w:t>
      </w:r>
      <w:r w:rsidR="00464071">
        <w:t xml:space="preserve"> činí </w:t>
      </w:r>
      <w:r w:rsidR="009613C4">
        <w:t>5 0</w:t>
      </w:r>
      <w:r w:rsidR="00464071">
        <w:t xml:space="preserve">00 tis. Kč, </w:t>
      </w:r>
      <w:r w:rsidR="009613C4">
        <w:t xml:space="preserve">což je navýšení oproti roku 2021 o 500 tis. Kč, </w:t>
      </w:r>
      <w:r w:rsidR="00464071">
        <w:t xml:space="preserve">přičemž na podprogram </w:t>
      </w:r>
      <w:proofErr w:type="gramStart"/>
      <w:r w:rsidR="00464071">
        <w:t>Sportujeme spadá</w:t>
      </w:r>
      <w:proofErr w:type="gramEnd"/>
      <w:r w:rsidR="00464071">
        <w:t xml:space="preserve"> </w:t>
      </w:r>
      <w:r w:rsidR="009613C4">
        <w:t>3</w:t>
      </w:r>
      <w:r w:rsidR="00464071">
        <w:t xml:space="preserve"> 000 tis. Kč a podprogram Volný čas </w:t>
      </w:r>
      <w:r w:rsidR="009613C4">
        <w:t>2</w:t>
      </w:r>
      <w:r w:rsidR="00464071">
        <w:t> </w:t>
      </w:r>
      <w:r w:rsidR="009613C4">
        <w:t>0</w:t>
      </w:r>
      <w:r w:rsidR="00464071">
        <w:t>00 tis. Kč.</w:t>
      </w:r>
    </w:p>
    <w:p w:rsidR="006774B5" w:rsidRDefault="00464071" w:rsidP="00464071">
      <w:pPr>
        <w:pStyle w:val="Nadpis2"/>
      </w:pPr>
      <w:r>
        <w:t>Podpora Všesportovního kolegia Kraje Vysočina</w:t>
      </w:r>
    </w:p>
    <w:p w:rsidR="00196A89" w:rsidRDefault="00196A89" w:rsidP="005944EF">
      <w:pPr>
        <w:spacing w:before="120"/>
      </w:pPr>
      <w:r>
        <w:t>Všesportovní kolegium Kraje Vysočina je</w:t>
      </w:r>
      <w:r w:rsidRPr="00196A89">
        <w:t xml:space="preserve"> koordinační a iniciativní orgán střešních sportovních organizací</w:t>
      </w:r>
      <w:r>
        <w:t xml:space="preserve"> v kraji, prostřednictvím kterého dochází k podpoře celoroční činnosti dětí a mládeže do 18 let.</w:t>
      </w:r>
    </w:p>
    <w:p w:rsidR="006774B5" w:rsidRDefault="005E3BE5" w:rsidP="005944EF">
      <w:pPr>
        <w:spacing w:before="120"/>
      </w:pPr>
      <w:r>
        <w:t>Finanční podpora členům všesportovního kolegia bude pokračovat také v roce 20</w:t>
      </w:r>
      <w:r w:rsidR="005944EF">
        <w:t>2</w:t>
      </w:r>
      <w:r w:rsidR="003E5750">
        <w:t>2</w:t>
      </w:r>
      <w:r>
        <w:t xml:space="preserve">. </w:t>
      </w:r>
      <w:r w:rsidR="005944EF">
        <w:t xml:space="preserve">Alokovaná částka bude stejná, jako v roce předchozím, tedy 4 400 tis. Kč. </w:t>
      </w:r>
      <w:r w:rsidR="005944EF" w:rsidRPr="005944EF">
        <w:t xml:space="preserve">Na základě dohody všech členů Všesportovního kolegia Kraje Vysočina bude uvedená dotace rozdělena tak, že 400 </w:t>
      </w:r>
      <w:r w:rsidR="005944EF">
        <w:t>tis.</w:t>
      </w:r>
      <w:r w:rsidR="005944EF" w:rsidRPr="005944EF">
        <w:t xml:space="preserve"> Kč bude rozděleno fixně na všechny organizace sdružené ve všesportovním kolegiu a zbývající část bude těmto organizacím rozdělena podle počtu členů z řad dětí a mládeže</w:t>
      </w:r>
      <w:r w:rsidR="005944EF">
        <w:t xml:space="preserve"> do 18 let</w:t>
      </w:r>
      <w:r w:rsidR="005944EF" w:rsidRPr="005944EF">
        <w:t xml:space="preserve"> v jednotlivých </w:t>
      </w:r>
      <w:r w:rsidR="00196A89">
        <w:t>zastřešujícíc</w:t>
      </w:r>
      <w:r w:rsidR="005944EF">
        <w:t xml:space="preserve">h </w:t>
      </w:r>
      <w:r w:rsidR="005944EF" w:rsidRPr="005944EF">
        <w:t>organizacích</w:t>
      </w:r>
      <w:r w:rsidR="005944EF">
        <w:t>, které kraji dokládají přehled členské základny.</w:t>
      </w:r>
    </w:p>
    <w:p w:rsidR="00DC5C30" w:rsidRDefault="00DC5C30" w:rsidP="00DC5C30">
      <w:pPr>
        <w:pStyle w:val="Nadpis1"/>
      </w:pPr>
      <w:r>
        <w:t>Zkvalitnění činnosti krajských center talentované mládeže</w:t>
      </w:r>
    </w:p>
    <w:p w:rsidR="00580266" w:rsidRDefault="00A564E0" w:rsidP="00A564E0">
      <w:pPr>
        <w:spacing w:before="120"/>
      </w:pPr>
      <w:r>
        <w:t xml:space="preserve">Podpora krajských center talentované mládeže </w:t>
      </w:r>
      <w:r w:rsidR="00E5650C">
        <w:t xml:space="preserve">(dále jen „KCTM“) </w:t>
      </w:r>
      <w:r>
        <w:t xml:space="preserve">bude systematicky pokračovat i ve sledovaném období. Od roku 2019 jsou centra zahrnuta spolu </w:t>
      </w:r>
      <w:r w:rsidR="00213E4F">
        <w:br/>
      </w:r>
      <w:r>
        <w:t xml:space="preserve">s ostatními dotačními tituly do Fondu Vysočiny. </w:t>
      </w:r>
      <w:r w:rsidR="00EA7533">
        <w:t>A</w:t>
      </w:r>
      <w:r>
        <w:t>lokovaná částka v roce 202</w:t>
      </w:r>
      <w:r w:rsidR="00F83899">
        <w:t>2</w:t>
      </w:r>
      <w:r>
        <w:t xml:space="preserve"> </w:t>
      </w:r>
      <w:r w:rsidR="00EA7533">
        <w:t>byla schválena ve výši</w:t>
      </w:r>
      <w:r>
        <w:t xml:space="preserve"> </w:t>
      </w:r>
      <w:r w:rsidR="009E2A73">
        <w:t>8 0</w:t>
      </w:r>
      <w:r w:rsidR="00E50CCC">
        <w:t>00 tis.</w:t>
      </w:r>
      <w:r>
        <w:t xml:space="preserve"> Kč a bude rozdělena mezi </w:t>
      </w:r>
      <w:r w:rsidR="009E2A73">
        <w:t>2</w:t>
      </w:r>
      <w:r w:rsidR="00086E28">
        <w:t>1</w:t>
      </w:r>
      <w:r>
        <w:t xml:space="preserve"> krajských center. Výše poskytnutých finančních prostředků se pak </w:t>
      </w:r>
      <w:r w:rsidR="0010664C">
        <w:t>v následujících letech</w:t>
      </w:r>
      <w:r>
        <w:t xml:space="preserve"> bude vyvíjet dle stavu krajského rozpočtu a podle zájmu o vznik nových center.</w:t>
      </w:r>
    </w:p>
    <w:p w:rsidR="00E5650C" w:rsidRDefault="00E5650C" w:rsidP="00A564E0">
      <w:pPr>
        <w:spacing w:before="120"/>
        <w:rPr>
          <w:b/>
          <w:sz w:val="20"/>
          <w:szCs w:val="20"/>
        </w:rPr>
      </w:pPr>
      <w:r w:rsidRPr="00E5650C">
        <w:rPr>
          <w:b/>
          <w:sz w:val="20"/>
          <w:szCs w:val="20"/>
        </w:rPr>
        <w:t xml:space="preserve">Tabulka č. 1: Přehled KCTM s navrhovanou finanční podporou </w:t>
      </w:r>
      <w:r w:rsidR="006537BF">
        <w:rPr>
          <w:b/>
          <w:sz w:val="20"/>
          <w:szCs w:val="20"/>
        </w:rPr>
        <w:t>v letech 2021 a 2022</w:t>
      </w:r>
      <w:r>
        <w:rPr>
          <w:b/>
          <w:sz w:val="20"/>
          <w:szCs w:val="20"/>
        </w:rPr>
        <w:t xml:space="preserve"> (v Kč)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4"/>
        <w:gridCol w:w="2075"/>
        <w:gridCol w:w="941"/>
        <w:gridCol w:w="941"/>
        <w:gridCol w:w="1761"/>
      </w:tblGrid>
      <w:tr w:rsidR="00B32106" w:rsidRPr="00B32106" w:rsidTr="00580266">
        <w:trPr>
          <w:trHeight w:val="5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Žadatel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Sport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Rok 2021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Rok 2022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Procentuální rozdíl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Fotbalový klub mládeže VYSOČINA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JIHLAVA, z.s.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Fotbal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1 525 000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1 500 000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-1,6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DUKLA Jihlava -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mládež,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Lední hokej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1 180 000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-15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,3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Krajské centrum talentované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mládeže, z. 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450 000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600 000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33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,3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Tělocvičná jednota Sokol Nové Veselí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Házená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380 000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18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,4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851901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Jihlavský plavecký klub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AXIS, z.s.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Plavání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265 000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,1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BB521C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Basketbalový klub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Jihlava z. s.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Basketbal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265 000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,1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SPORTOVNÍ KLUB NOVÉ MĚSTO NA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MORAVĚ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Běžecké lyžování, severské disciplíny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230 000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,2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SPORTOVNÍ KLUB NOVÉ MĚSTO NA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MORAVĚ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Biatlon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230 000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,2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SKI klub Velké Meziříčí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Alpské lyžování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230 000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52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,2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Krajský atletický svaz Vysočina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Atletika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155 000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125,8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Tělovýchovná jednota Spartak Třebíč, spolek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Triatlon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80 000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350 000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0B529E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337,5 </w:t>
            </w:r>
            <w:r w:rsidR="00B32106"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Florbal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Vysočina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Florbal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155 000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0B529E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93,5 </w:t>
            </w:r>
            <w:r w:rsidR="00B32106"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HB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Ostrov,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Stolní tenis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230 000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0B529E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8,7 </w:t>
            </w:r>
            <w:r w:rsidR="00B32106"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Tělovýchovná jednota Spartak Velké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Meziříčí,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Volejbal chlapci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190 000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0B529E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31,6 </w:t>
            </w:r>
            <w:r w:rsidR="00B32106"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Třebíč </w:t>
            </w:r>
            <w:proofErr w:type="spellStart"/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Nuclears</w:t>
            </w:r>
            <w:proofErr w:type="spellEnd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Baseball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Sportovní klub OK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Jihlava,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Orientační běh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155 000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29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Tělocvičná jednota Sokol Bedřichov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Moderní gymnastika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155 000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29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Tělovýchovná jednota Jiskra Havlíčkův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Brod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Softball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Judo </w:t>
            </w:r>
            <w:proofErr w:type="gramStart"/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Vysočina z.s.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Judo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80 000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0B529E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87,5 </w:t>
            </w:r>
            <w:r w:rsidR="00B32106"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580266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Krajský šachový svaz Vysočina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Šachy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80 000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25</w:t>
            </w:r>
            <w:r w:rsidR="000B529E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%</w:t>
            </w:r>
          </w:p>
        </w:tc>
      </w:tr>
      <w:tr w:rsidR="00B32106" w:rsidRPr="00B32106" w:rsidTr="0065374C">
        <w:trPr>
          <w:trHeight w:val="57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TJ Sokol Bedřichov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Taneční sport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32106" w:rsidRPr="00B32106" w:rsidRDefault="00B32106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B3210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65374C" w:rsidRPr="00B32106" w:rsidTr="0065374C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4C" w:rsidRPr="00B32106" w:rsidRDefault="0065374C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65374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Krajské centrum talentované mládeže VOLEJBAL </w:t>
            </w:r>
            <w:proofErr w:type="gramStart"/>
            <w:r w:rsidRPr="0065374C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VYSOČINA, z. s.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374C" w:rsidRPr="00B32106" w:rsidRDefault="0065374C" w:rsidP="00B3210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Volejbal dívky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4C" w:rsidRPr="00B32106" w:rsidRDefault="0065374C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265 000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374C" w:rsidRPr="00B32106" w:rsidRDefault="0065374C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374C" w:rsidRPr="00B32106" w:rsidRDefault="0065374C" w:rsidP="00B3210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</w:tbl>
    <w:p w:rsidR="00A564E0" w:rsidRPr="00E5650C" w:rsidRDefault="00E5650C" w:rsidP="00A564E0">
      <w:pPr>
        <w:spacing w:before="120"/>
        <w:rPr>
          <w:i/>
          <w:sz w:val="20"/>
          <w:szCs w:val="20"/>
        </w:rPr>
      </w:pPr>
      <w:r w:rsidRPr="00E5650C">
        <w:rPr>
          <w:i/>
          <w:sz w:val="20"/>
          <w:szCs w:val="20"/>
        </w:rPr>
        <w:t>Zdroj: vlastní zpracování na základě dat Kraje Vysočina</w:t>
      </w:r>
    </w:p>
    <w:p w:rsidR="00451635" w:rsidRDefault="006A31C8" w:rsidP="00A564E0">
      <w:pPr>
        <w:spacing w:before="120"/>
      </w:pPr>
      <w:r>
        <w:t>V roce 2022 dojde k revizi celého systému</w:t>
      </w:r>
      <w:r w:rsidR="00451635">
        <w:t xml:space="preserve"> podpory Krajských</w:t>
      </w:r>
      <w:r>
        <w:t xml:space="preserve"> center talentované mládeže</w:t>
      </w:r>
      <w:r w:rsidR="00451635">
        <w:t xml:space="preserve"> a svazových center mládeže tak, aby </w:t>
      </w:r>
      <w:r w:rsidR="00777163">
        <w:t>bylo nastaveno vhodné směřování krajské finanční podpory na sportovní činnost mladých talentovaných sportovců.</w:t>
      </w:r>
    </w:p>
    <w:p w:rsidR="00580266" w:rsidRDefault="00451635" w:rsidP="00A564E0">
      <w:pPr>
        <w:spacing w:before="120"/>
      </w:pPr>
      <w:r>
        <w:t>Mezi dosud</w:t>
      </w:r>
      <w:r w:rsidR="00A564E0">
        <w:t xml:space="preserve"> podporovaná centra</w:t>
      </w:r>
      <w:r>
        <w:t xml:space="preserve"> talentované mládeže</w:t>
      </w:r>
      <w:r w:rsidR="00A564E0">
        <w:t xml:space="preserve"> patří Tréninkové centrum mládeže - házená (</w:t>
      </w:r>
      <w:r w:rsidR="00225621">
        <w:t>dále jen „</w:t>
      </w:r>
      <w:r w:rsidR="00A564E0">
        <w:t>TCM</w:t>
      </w:r>
      <w:r w:rsidR="00225621">
        <w:t>“</w:t>
      </w:r>
      <w:r w:rsidR="00A564E0">
        <w:t>), Výchova talentované mládeže – hokej (</w:t>
      </w:r>
      <w:r w:rsidR="00225621">
        <w:t>dále jen „</w:t>
      </w:r>
      <w:r w:rsidR="00A564E0">
        <w:t>VTM</w:t>
      </w:r>
      <w:r w:rsidR="00225621">
        <w:t>“</w:t>
      </w:r>
      <w:r w:rsidR="00A564E0">
        <w:t>) či Regionální fotbalová akademie. Výše podpory v roce 20</w:t>
      </w:r>
      <w:r w:rsidR="00225621">
        <w:t>2</w:t>
      </w:r>
      <w:r w:rsidR="00423711">
        <w:t>2</w:t>
      </w:r>
      <w:r w:rsidR="00A564E0">
        <w:t xml:space="preserve"> </w:t>
      </w:r>
      <w:r w:rsidR="00225621">
        <w:t xml:space="preserve">a vývoj za poslední </w:t>
      </w:r>
      <w:r w:rsidR="00423711">
        <w:t>4</w:t>
      </w:r>
      <w:r w:rsidR="00225621">
        <w:t xml:space="preserve"> roky zobrazuje následující tabulka:</w:t>
      </w:r>
    </w:p>
    <w:p w:rsidR="004A6832" w:rsidRDefault="004A6832" w:rsidP="00A564E0">
      <w:pPr>
        <w:spacing w:before="120"/>
      </w:pPr>
    </w:p>
    <w:p w:rsidR="0055258F" w:rsidRPr="0055258F" w:rsidRDefault="002F2617" w:rsidP="0055258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Tabulka č. 2</w:t>
      </w:r>
      <w:r w:rsidR="0055258F" w:rsidRPr="004878B5">
        <w:rPr>
          <w:b/>
          <w:sz w:val="20"/>
          <w:szCs w:val="20"/>
        </w:rPr>
        <w:t>: Výše krajské finanční podpory svazovým centrům mládeže v </w:t>
      </w:r>
      <w:r w:rsidR="0055258F">
        <w:rPr>
          <w:b/>
          <w:sz w:val="20"/>
          <w:szCs w:val="20"/>
        </w:rPr>
        <w:t>letech 2019 – 202</w:t>
      </w:r>
      <w:r w:rsidR="00423711">
        <w:rPr>
          <w:b/>
          <w:sz w:val="20"/>
          <w:szCs w:val="20"/>
        </w:rPr>
        <w:t>2</w:t>
      </w:r>
      <w:r w:rsidR="0055258F">
        <w:rPr>
          <w:b/>
          <w:sz w:val="20"/>
          <w:szCs w:val="20"/>
        </w:rPr>
        <w:t xml:space="preserve"> (v tis. Kč) </w:t>
      </w:r>
    </w:p>
    <w:tbl>
      <w:tblPr>
        <w:tblW w:w="697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2"/>
        <w:gridCol w:w="918"/>
        <w:gridCol w:w="980"/>
        <w:gridCol w:w="980"/>
        <w:gridCol w:w="930"/>
      </w:tblGrid>
      <w:tr w:rsidR="00423711" w:rsidRPr="00225621" w:rsidTr="003F05B4">
        <w:trPr>
          <w:trHeight w:val="315"/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3711" w:rsidRPr="00225621" w:rsidRDefault="00423711" w:rsidP="0022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Svazové centrum mládeže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3711" w:rsidRPr="00225621" w:rsidRDefault="00423711" w:rsidP="0022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Pr="0055258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3711" w:rsidRPr="00225621" w:rsidRDefault="00423711" w:rsidP="0022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Pr="0055258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23711" w:rsidRPr="00225621" w:rsidRDefault="00423711" w:rsidP="0022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  <w:r w:rsidRPr="0055258F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423711" w:rsidRPr="00225621" w:rsidRDefault="00423711" w:rsidP="0022562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2022</w:t>
            </w:r>
          </w:p>
        </w:tc>
      </w:tr>
      <w:tr w:rsidR="00423711" w:rsidRPr="00225621" w:rsidTr="003F05B4">
        <w:trPr>
          <w:trHeight w:val="300"/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TCM Házená</w:t>
            </w:r>
          </w:p>
        </w:tc>
        <w:tc>
          <w:tcPr>
            <w:tcW w:w="9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55258F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258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258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500</w:t>
            </w:r>
          </w:p>
        </w:tc>
        <w:tc>
          <w:tcPr>
            <w:tcW w:w="98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55258F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450</w:t>
            </w:r>
          </w:p>
        </w:tc>
        <w:tc>
          <w:tcPr>
            <w:tcW w:w="93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711" w:rsidRPr="0055258F" w:rsidRDefault="0036238C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450</w:t>
            </w:r>
          </w:p>
        </w:tc>
      </w:tr>
      <w:tr w:rsidR="00423711" w:rsidRPr="00225621" w:rsidTr="003F05B4">
        <w:trPr>
          <w:trHeight w:val="300"/>
          <w:jc w:val="center"/>
        </w:trPr>
        <w:tc>
          <w:tcPr>
            <w:tcW w:w="31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VTM Hokej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711" w:rsidRPr="00225621" w:rsidRDefault="0036238C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300</w:t>
            </w:r>
          </w:p>
        </w:tc>
      </w:tr>
      <w:tr w:rsidR="00423711" w:rsidRPr="00225621" w:rsidTr="003F05B4">
        <w:trPr>
          <w:trHeight w:val="257"/>
          <w:jc w:val="center"/>
        </w:trPr>
        <w:tc>
          <w:tcPr>
            <w:tcW w:w="316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Regionální fotbalová akademie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3711" w:rsidRPr="00225621" w:rsidRDefault="00423711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225621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1 700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711" w:rsidRPr="00225621" w:rsidRDefault="0036238C" w:rsidP="002256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1 530</w:t>
            </w:r>
          </w:p>
        </w:tc>
      </w:tr>
    </w:tbl>
    <w:p w:rsidR="00127FF6" w:rsidRDefault="0055258F" w:rsidP="00A564E0">
      <w:pPr>
        <w:spacing w:before="120"/>
        <w:rPr>
          <w:i/>
          <w:sz w:val="20"/>
          <w:szCs w:val="20"/>
        </w:rPr>
      </w:pPr>
      <w:r w:rsidRPr="0055258F">
        <w:rPr>
          <w:i/>
          <w:sz w:val="20"/>
          <w:szCs w:val="20"/>
        </w:rPr>
        <w:t>Zdroj: vlastní zpracování na základě dat Kraje Vysočina</w:t>
      </w:r>
    </w:p>
    <w:p w:rsidR="00127FF6" w:rsidRPr="00127FF6" w:rsidRDefault="00127FF6" w:rsidP="00127FF6">
      <w:pPr>
        <w:pStyle w:val="Nadpis1"/>
      </w:pPr>
      <w:r w:rsidRPr="00127FF6">
        <w:t>Zapojování handicapovaných do sportovních aktivit</w:t>
      </w:r>
    </w:p>
    <w:p w:rsidR="00127FF6" w:rsidRDefault="00404A24" w:rsidP="00127FF6">
      <w:pPr>
        <w:pStyle w:val="Bezmezer"/>
        <w:spacing w:before="120" w:line="276" w:lineRule="auto"/>
      </w:pPr>
      <w:r>
        <w:t>Zdravotně</w:t>
      </w:r>
      <w:r w:rsidR="008A490F">
        <w:t xml:space="preserve"> postižení spo</w:t>
      </w:r>
      <w:r>
        <w:t>rtovci jsou pravidelně podporováni</w:t>
      </w:r>
      <w:r w:rsidR="008A490F">
        <w:t xml:space="preserve"> díky programu „Celoroční aktivity handicapovaných“, který je od roku 2019 zařazen </w:t>
      </w:r>
      <w:r w:rsidR="00127FF6" w:rsidRPr="00127FF6">
        <w:t xml:space="preserve">pod Fond Vysočiny. </w:t>
      </w:r>
      <w:r w:rsidR="008A490F">
        <w:t>Schválená alokovaná částka na tento program v roce 202</w:t>
      </w:r>
      <w:r w:rsidR="0036238C">
        <w:t>2</w:t>
      </w:r>
      <w:r w:rsidR="008A490F">
        <w:t xml:space="preserve"> činí </w:t>
      </w:r>
      <w:r w:rsidR="0036238C">
        <w:t>6</w:t>
      </w:r>
      <w:r w:rsidR="008A490F">
        <w:t>00 tis. Kč</w:t>
      </w:r>
      <w:r w:rsidR="0036238C">
        <w:t xml:space="preserve">, což je </w:t>
      </w:r>
      <w:r w:rsidR="00213E4F">
        <w:br/>
      </w:r>
      <w:r w:rsidR="0036238C">
        <w:t>o 200 tis. Kč více než v roce 2021</w:t>
      </w:r>
      <w:r w:rsidR="008A490F">
        <w:t xml:space="preserve">. </w:t>
      </w:r>
      <w:r w:rsidR="00127FF6" w:rsidRPr="00127FF6">
        <w:t xml:space="preserve">Nejlepší handicapovaní sportovci z Kraje Vysočina </w:t>
      </w:r>
      <w:r w:rsidR="008A490F">
        <w:t>jsou</w:t>
      </w:r>
      <w:r w:rsidR="00127FF6" w:rsidRPr="00127FF6">
        <w:t xml:space="preserve"> každoročně oceněni na slavnostním vyhlášení Sportovec Kraje Vysočina v kategorii zdravotně postižený sportovec. </w:t>
      </w:r>
    </w:p>
    <w:p w:rsidR="007363D2" w:rsidRPr="00933F9F" w:rsidRDefault="007363D2" w:rsidP="007363D2">
      <w:pPr>
        <w:pStyle w:val="Nadpis1"/>
      </w:pPr>
      <w:r w:rsidRPr="00933F9F">
        <w:t>Pořádání vrcholných sportovních akcí</w:t>
      </w:r>
    </w:p>
    <w:p w:rsidR="00E446DD" w:rsidRDefault="00E446DD" w:rsidP="00E446DD">
      <w:pPr>
        <w:spacing w:before="120"/>
      </w:pPr>
      <w:r>
        <w:t>Podpora tradičních a významných sportovních akcí pořádaných na území Kraje Vysočina bude v roce 202</w:t>
      </w:r>
      <w:r w:rsidR="00AF0C87">
        <w:t>2</w:t>
      </w:r>
      <w:r>
        <w:t xml:space="preserve"> realizována </w:t>
      </w:r>
      <w:r w:rsidR="00AF0C87">
        <w:t>jednak prostřednictvím dotačního programu Účast na mistrovství a pořádání mistrovství 2022 a jednak přes individuální dotace</w:t>
      </w:r>
      <w:r w:rsidR="00E928BA">
        <w:t xml:space="preserve"> významným sportovním akcím</w:t>
      </w:r>
      <w:r w:rsidR="00C2386A">
        <w:t>, jejichž administrace spadá pod odbor sekretariátu hejtmana</w:t>
      </w:r>
      <w:r w:rsidR="00AF0C87">
        <w:t xml:space="preserve">. V rámci dotačního programu došlo ke spojení dvou dosud oddělených programů, přičemž program Pořádání mistrovství ČR, Evropy, světa a světového poháru nebyl v loňském roce vyhlášen. Alokovaná částka na program činí celkem 1 000 tis. Kč a je rovnoměrně rozdělena mezi podprogramy Účast na mistrovství </w:t>
      </w:r>
      <w:r w:rsidR="00D10951">
        <w:br/>
      </w:r>
      <w:r w:rsidR="00AF0C87">
        <w:t>a Pořádání mistrovství.</w:t>
      </w:r>
    </w:p>
    <w:p w:rsidR="00580266" w:rsidRPr="00926EB6" w:rsidRDefault="00723191" w:rsidP="00926EB6">
      <w:pPr>
        <w:keepNext/>
        <w:spacing w:before="240" w:after="120"/>
        <w:outlineLvl w:val="1"/>
        <w:rPr>
          <w:rFonts w:eastAsia="Times New Roman"/>
          <w:bCs/>
          <w:iCs/>
          <w:szCs w:val="28"/>
        </w:rPr>
      </w:pPr>
      <w:r w:rsidRPr="00723191">
        <w:rPr>
          <w:rFonts w:eastAsia="Times New Roman"/>
          <w:bCs/>
          <w:iCs/>
          <w:szCs w:val="28"/>
        </w:rPr>
        <w:t>Následující tabulka zobrazuje tradiční, pravidelně se opakující významné sportovní akce v</w:t>
      </w:r>
      <w:r w:rsidR="00E842C3">
        <w:rPr>
          <w:rFonts w:eastAsia="Times New Roman"/>
          <w:bCs/>
          <w:iCs/>
          <w:szCs w:val="28"/>
        </w:rPr>
        <w:t> </w:t>
      </w:r>
      <w:r w:rsidRPr="00723191">
        <w:rPr>
          <w:rFonts w:eastAsia="Times New Roman"/>
          <w:bCs/>
          <w:iCs/>
          <w:szCs w:val="28"/>
        </w:rPr>
        <w:t>kraji</w:t>
      </w:r>
      <w:r w:rsidR="00E842C3">
        <w:rPr>
          <w:rFonts w:eastAsia="Times New Roman"/>
          <w:bCs/>
          <w:iCs/>
          <w:szCs w:val="28"/>
        </w:rPr>
        <w:t xml:space="preserve"> se</w:t>
      </w:r>
      <w:r w:rsidRPr="00723191">
        <w:rPr>
          <w:rFonts w:eastAsia="Times New Roman"/>
          <w:bCs/>
          <w:iCs/>
          <w:szCs w:val="28"/>
        </w:rPr>
        <w:t xml:space="preserve"> </w:t>
      </w:r>
      <w:r w:rsidR="00E842C3">
        <w:rPr>
          <w:rFonts w:eastAsia="Times New Roman"/>
          <w:bCs/>
          <w:iCs/>
          <w:szCs w:val="28"/>
        </w:rPr>
        <w:t>schválenou finanční</w:t>
      </w:r>
      <w:r w:rsidRPr="00723191">
        <w:rPr>
          <w:rFonts w:eastAsia="Times New Roman"/>
          <w:bCs/>
          <w:iCs/>
          <w:szCs w:val="28"/>
        </w:rPr>
        <w:t xml:space="preserve"> podpo</w:t>
      </w:r>
      <w:r w:rsidR="00E842C3">
        <w:rPr>
          <w:rFonts w:eastAsia="Times New Roman"/>
          <w:bCs/>
          <w:iCs/>
          <w:szCs w:val="28"/>
        </w:rPr>
        <w:t xml:space="preserve">rou na rok </w:t>
      </w:r>
      <w:r w:rsidRPr="00723191">
        <w:rPr>
          <w:rFonts w:eastAsia="Times New Roman"/>
          <w:bCs/>
          <w:iCs/>
          <w:szCs w:val="28"/>
        </w:rPr>
        <w:t>20</w:t>
      </w:r>
      <w:r>
        <w:rPr>
          <w:rFonts w:eastAsia="Times New Roman"/>
          <w:bCs/>
          <w:iCs/>
          <w:szCs w:val="28"/>
        </w:rPr>
        <w:t>2</w:t>
      </w:r>
      <w:r w:rsidR="00E928BA">
        <w:rPr>
          <w:rFonts w:eastAsia="Times New Roman"/>
          <w:bCs/>
          <w:iCs/>
          <w:szCs w:val="28"/>
        </w:rPr>
        <w:t>2</w:t>
      </w:r>
      <w:r w:rsidR="00E842C3">
        <w:rPr>
          <w:rFonts w:eastAsia="Times New Roman"/>
          <w:bCs/>
          <w:iCs/>
          <w:szCs w:val="28"/>
        </w:rPr>
        <w:t>:</w:t>
      </w:r>
    </w:p>
    <w:p w:rsidR="002F2617" w:rsidRDefault="008C6661" w:rsidP="00D542D1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Tabulka č. 3</w:t>
      </w:r>
      <w:r w:rsidR="002F2617" w:rsidRPr="004878B5">
        <w:rPr>
          <w:b/>
          <w:sz w:val="20"/>
          <w:szCs w:val="20"/>
        </w:rPr>
        <w:t xml:space="preserve">: Výše krajské finanční podpory </w:t>
      </w:r>
      <w:r w:rsidR="002F2617">
        <w:rPr>
          <w:b/>
          <w:sz w:val="20"/>
          <w:szCs w:val="20"/>
        </w:rPr>
        <w:t>tradičních sportovních akcí v roce 202</w:t>
      </w:r>
      <w:r w:rsidR="00E928BA">
        <w:rPr>
          <w:b/>
          <w:sz w:val="20"/>
          <w:szCs w:val="20"/>
        </w:rPr>
        <w:t>2</w:t>
      </w:r>
      <w:r w:rsidR="002F2617">
        <w:rPr>
          <w:b/>
          <w:sz w:val="20"/>
          <w:szCs w:val="20"/>
        </w:rPr>
        <w:t xml:space="preserve"> (v tis. Kč) </w:t>
      </w:r>
    </w:p>
    <w:tbl>
      <w:tblPr>
        <w:tblW w:w="78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3816"/>
        <w:gridCol w:w="1320"/>
      </w:tblGrid>
      <w:tr w:rsidR="00926EB6" w:rsidRPr="00926EB6" w:rsidTr="00C5464B">
        <w:trPr>
          <w:trHeight w:val="525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Název akce</w:t>
            </w: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Specifikace akce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Výše dotace</w:t>
            </w:r>
          </w:p>
        </w:tc>
      </w:tr>
      <w:tr w:rsidR="00926EB6" w:rsidRPr="00926EB6" w:rsidTr="00C5464B">
        <w:trPr>
          <w:trHeight w:val="720"/>
          <w:jc w:val="center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Cyklistický závod VYSOČINA</w:t>
            </w:r>
          </w:p>
        </w:tc>
        <w:tc>
          <w:tcPr>
            <w:tcW w:w="38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Mezinárodní cyklistický etapový závod mužů (25. ročník)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80</w:t>
            </w:r>
          </w:p>
        </w:tc>
      </w:tr>
      <w:tr w:rsidR="00926EB6" w:rsidRPr="00926EB6" w:rsidTr="00C5464B">
        <w:trPr>
          <w:trHeight w:val="960"/>
          <w:jc w:val="center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Zlatá podkova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Tradiční celorepublikové finále seriálu závodů ve všestrannosti a koňských spřežení (57. ročník)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150</w:t>
            </w:r>
          </w:p>
        </w:tc>
      </w:tr>
      <w:tr w:rsidR="00926EB6" w:rsidRPr="00926EB6" w:rsidTr="00C5464B">
        <w:trPr>
          <w:trHeight w:val="960"/>
          <w:jc w:val="center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AXIS CUP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Mezinárodní plavecké závody zařazené do programu Českého poháru v plavání (23. ročník)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50</w:t>
            </w:r>
          </w:p>
        </w:tc>
      </w:tr>
      <w:tr w:rsidR="00926EB6" w:rsidRPr="00926EB6" w:rsidTr="00BB521C">
        <w:trPr>
          <w:trHeight w:val="960"/>
          <w:jc w:val="center"/>
        </w:trPr>
        <w:tc>
          <w:tcPr>
            <w:tcW w:w="2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lastRenderedPageBreak/>
              <w:t xml:space="preserve">Mezinárodní mistrovství závodů automobilů do vrchu - </w:t>
            </w:r>
            <w:proofErr w:type="spellStart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Maverick</w:t>
            </w:r>
            <w:proofErr w:type="spellEnd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Hill</w:t>
            </w:r>
            <w:proofErr w:type="spellEnd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Climb</w:t>
            </w:r>
            <w:proofErr w:type="spellEnd"/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Czech</w:t>
            </w:r>
          </w:p>
        </w:tc>
        <w:tc>
          <w:tcPr>
            <w:tcW w:w="3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Závody zařazené do mezinárodního mistrovství pro celou střední Evropu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926EB6" w:rsidRPr="00926EB6" w:rsidTr="00C5464B">
        <w:trPr>
          <w:trHeight w:val="960"/>
          <w:jc w:val="center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MOTOKROS Pacov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Mezinárodní Mistrovství ČR v motokrosu, krajský přebor v motokrosu. Tradice od roku 2006.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  <w:tr w:rsidR="00926EB6" w:rsidRPr="00926EB6" w:rsidTr="00C5464B">
        <w:trPr>
          <w:trHeight w:val="975"/>
          <w:jc w:val="center"/>
        </w:trPr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Zámecký vrch - MANN - FILTER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Závody současných a historických automobilů do vrchu v rámci seriálu MČR - 41. ročník.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26EB6" w:rsidRPr="00926EB6" w:rsidRDefault="00926EB6" w:rsidP="00926EB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926EB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30</w:t>
            </w:r>
          </w:p>
        </w:tc>
      </w:tr>
    </w:tbl>
    <w:p w:rsidR="002F2617" w:rsidRDefault="002F2617" w:rsidP="002F2617">
      <w:pPr>
        <w:spacing w:before="120"/>
        <w:rPr>
          <w:i/>
          <w:sz w:val="20"/>
          <w:szCs w:val="20"/>
        </w:rPr>
      </w:pPr>
      <w:r w:rsidRPr="0055258F">
        <w:rPr>
          <w:i/>
          <w:sz w:val="20"/>
          <w:szCs w:val="20"/>
        </w:rPr>
        <w:t>Zdroj: vlastní zpracování na základě dat Kraje Vysočina</w:t>
      </w:r>
    </w:p>
    <w:p w:rsidR="00323CE2" w:rsidRDefault="00323CE2" w:rsidP="00323CE2">
      <w:r>
        <w:t>Celková výše finanční podpory tradičních sportovních akcí v roce 202</w:t>
      </w:r>
      <w:r w:rsidR="00E928BA">
        <w:t>2</w:t>
      </w:r>
      <w:r>
        <w:t xml:space="preserve"> bude </w:t>
      </w:r>
      <w:r w:rsidR="00D05C50">
        <w:br/>
      </w:r>
      <w:r w:rsidR="009535D0">
        <w:t>3</w:t>
      </w:r>
      <w:r w:rsidR="00807FBA">
        <w:t>70</w:t>
      </w:r>
      <w:r w:rsidR="00D6736F">
        <w:t xml:space="preserve"> tis. Kč.</w:t>
      </w:r>
    </w:p>
    <w:p w:rsidR="00580266" w:rsidRPr="00323CE2" w:rsidRDefault="00323CE2" w:rsidP="00580266">
      <w:r>
        <w:t>Následující tabulka zobrazuje významné sportovní akce pořádané v roce 202</w:t>
      </w:r>
      <w:r w:rsidR="00D6736F">
        <w:t>2</w:t>
      </w:r>
      <w:r>
        <w:t xml:space="preserve"> </w:t>
      </w:r>
      <w:r w:rsidR="00213E4F">
        <w:br/>
      </w:r>
      <w:r>
        <w:t>na území kraje, které nemají pravidelně se opakující charakter.</w:t>
      </w:r>
    </w:p>
    <w:p w:rsidR="000703E6" w:rsidRDefault="000703E6" w:rsidP="000703E6">
      <w:pPr>
        <w:rPr>
          <w:b/>
          <w:sz w:val="20"/>
          <w:szCs w:val="20"/>
        </w:rPr>
      </w:pPr>
      <w:r>
        <w:rPr>
          <w:b/>
          <w:sz w:val="20"/>
          <w:szCs w:val="20"/>
        </w:rPr>
        <w:t>Tabulka č. 4</w:t>
      </w:r>
      <w:r w:rsidRPr="004878B5">
        <w:rPr>
          <w:b/>
          <w:sz w:val="20"/>
          <w:szCs w:val="20"/>
        </w:rPr>
        <w:t xml:space="preserve">: </w:t>
      </w:r>
      <w:r w:rsidRPr="000703E6">
        <w:rPr>
          <w:b/>
          <w:sz w:val="20"/>
          <w:szCs w:val="20"/>
        </w:rPr>
        <w:t xml:space="preserve">Výše krajské finanční podpory </w:t>
      </w:r>
      <w:r>
        <w:rPr>
          <w:b/>
          <w:sz w:val="20"/>
          <w:szCs w:val="20"/>
        </w:rPr>
        <w:t>významných sportovních akcí v roce 202</w:t>
      </w:r>
      <w:r w:rsidR="00D6736F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br/>
      </w:r>
      <w:r w:rsidRPr="00924B0A">
        <w:rPr>
          <w:b/>
          <w:sz w:val="20"/>
          <w:szCs w:val="20"/>
        </w:rPr>
        <w:t>(v tis. Kč)</w:t>
      </w:r>
    </w:p>
    <w:tbl>
      <w:tblPr>
        <w:tblW w:w="7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4115"/>
        <w:gridCol w:w="1320"/>
      </w:tblGrid>
      <w:tr w:rsidR="00AB5396" w:rsidRPr="00AB5396" w:rsidTr="00FC5709">
        <w:trPr>
          <w:trHeight w:val="525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Název akce</w:t>
            </w:r>
          </w:p>
        </w:tc>
        <w:tc>
          <w:tcPr>
            <w:tcW w:w="41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Specifikace akce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cs-CZ"/>
              </w:rPr>
              <w:t>Výše dotace</w:t>
            </w:r>
          </w:p>
        </w:tc>
      </w:tr>
      <w:tr w:rsidR="00AB5396" w:rsidRPr="00AB5396" w:rsidTr="00FC5709">
        <w:trPr>
          <w:trHeight w:val="1103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IBU CUP </w:t>
            </w:r>
            <w:proofErr w:type="spellStart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Biathlon</w:t>
            </w:r>
            <w:proofErr w:type="spellEnd"/>
          </w:p>
        </w:tc>
        <w:tc>
          <w:tcPr>
            <w:tcW w:w="411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Soutěž z druhého nejvyššího seriálu závodů pro seniorské kategorie, pro sportovce usilující o nominace na SP a MS.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750</w:t>
            </w:r>
          </w:p>
        </w:tc>
      </w:tr>
      <w:tr w:rsidR="00AB5396" w:rsidRPr="00AB5396" w:rsidTr="00FC5709">
        <w:trPr>
          <w:trHeight w:val="1100"/>
          <w:jc w:val="center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Světový pohár horských kol, UCI MTB </w:t>
            </w:r>
            <w:proofErr w:type="spellStart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World</w:t>
            </w:r>
            <w:proofErr w:type="spellEnd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 Cup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left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Závod SP horských kol v olympijské disciplíně XC a XCC kategorií: muži </w:t>
            </w:r>
            <w:proofErr w:type="spellStart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elite</w:t>
            </w:r>
            <w:proofErr w:type="spellEnd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, ženy </w:t>
            </w:r>
            <w:proofErr w:type="spellStart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elite</w:t>
            </w:r>
            <w:proofErr w:type="spellEnd"/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, muži U23, ženy U23. Závod světové série juniorů a juniorek.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B5396" w:rsidRPr="00AB5396" w:rsidRDefault="00AB5396" w:rsidP="00AB53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</w:pPr>
            <w:r w:rsidRPr="00AB5396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1 000</w:t>
            </w:r>
          </w:p>
        </w:tc>
      </w:tr>
    </w:tbl>
    <w:p w:rsidR="000703E6" w:rsidRDefault="000703E6" w:rsidP="000703E6">
      <w:pPr>
        <w:spacing w:before="240"/>
        <w:rPr>
          <w:i/>
          <w:sz w:val="20"/>
          <w:szCs w:val="20"/>
        </w:rPr>
      </w:pPr>
      <w:r w:rsidRPr="0055258F">
        <w:rPr>
          <w:i/>
          <w:sz w:val="20"/>
          <w:szCs w:val="20"/>
        </w:rPr>
        <w:t>Zdroj: vlastní zpracování na základě dat Kraje Vysočina</w:t>
      </w:r>
    </w:p>
    <w:p w:rsidR="005D214E" w:rsidRDefault="005D214E" w:rsidP="005D214E">
      <w:r>
        <w:t>Významné sportovní akce na území Kraje Vysočina se rok od roku mění. Při zvažování poskytnutí krajské dotace a její výše jsou zohledněna následující kritéria:</w:t>
      </w:r>
    </w:p>
    <w:p w:rsidR="005D214E" w:rsidRDefault="005D214E" w:rsidP="005D214E">
      <w:pPr>
        <w:numPr>
          <w:ilvl w:val="0"/>
          <w:numId w:val="8"/>
        </w:numPr>
      </w:pPr>
      <w:r>
        <w:t>cílové publikum, na které je akce zaměřena;</w:t>
      </w:r>
    </w:p>
    <w:p w:rsidR="005D214E" w:rsidRDefault="005D214E" w:rsidP="005D214E">
      <w:pPr>
        <w:numPr>
          <w:ilvl w:val="0"/>
          <w:numId w:val="8"/>
        </w:numPr>
      </w:pPr>
      <w:r>
        <w:t>dopad akce – lokální, regionální či nadregionální význam;</w:t>
      </w:r>
    </w:p>
    <w:p w:rsidR="008C6661" w:rsidRDefault="005D214E" w:rsidP="001E24C4">
      <w:pPr>
        <w:numPr>
          <w:ilvl w:val="0"/>
          <w:numId w:val="8"/>
        </w:numPr>
      </w:pPr>
      <w:r>
        <w:t>tradice akce.</w:t>
      </w:r>
    </w:p>
    <w:p w:rsidR="00844879" w:rsidRDefault="007363D2" w:rsidP="00844879">
      <w:pPr>
        <w:pStyle w:val="Nadpis1"/>
      </w:pPr>
      <w:r w:rsidRPr="007363D2">
        <w:t xml:space="preserve">Všeobecná propagace sportu s využitím úspěchů klubů </w:t>
      </w:r>
      <w:r w:rsidR="00D10951">
        <w:br/>
      </w:r>
      <w:r w:rsidRPr="007363D2">
        <w:t>a sportovců z Vysočiny k přilákání zájemců o sport</w:t>
      </w:r>
    </w:p>
    <w:p w:rsidR="002C3F30" w:rsidRPr="002C3F30" w:rsidRDefault="002C3F30" w:rsidP="002C3F30">
      <w:pPr>
        <w:spacing w:before="120"/>
      </w:pPr>
      <w:r>
        <w:t xml:space="preserve">Propagace krajských sportovců a jejich úspěchů probíhá prostřednictvím webových stránek kraje, krajského </w:t>
      </w:r>
      <w:proofErr w:type="spellStart"/>
      <w:r>
        <w:t>facebooku</w:t>
      </w:r>
      <w:proofErr w:type="spellEnd"/>
      <w:r>
        <w:t>, krajských novin apod.</w:t>
      </w:r>
      <w:r w:rsidR="00C2386A">
        <w:t xml:space="preserve"> a </w:t>
      </w:r>
      <w:r w:rsidR="00C617E6">
        <w:t>spolupracuje na ní oddělení vnějších vztahů s oddělení</w:t>
      </w:r>
      <w:r w:rsidR="00AC37AC">
        <w:t>m</w:t>
      </w:r>
      <w:r w:rsidR="00C617E6">
        <w:t xml:space="preserve"> mládeže a sportu.</w:t>
      </w:r>
    </w:p>
    <w:p w:rsidR="00844879" w:rsidRDefault="002C3F30" w:rsidP="007071DE">
      <w:pPr>
        <w:spacing w:before="120"/>
      </w:pPr>
      <w:r>
        <w:lastRenderedPageBreak/>
        <w:t xml:space="preserve">Dále </w:t>
      </w:r>
      <w:proofErr w:type="gramStart"/>
      <w:r w:rsidR="00844879">
        <w:t>Kraj</w:t>
      </w:r>
      <w:proofErr w:type="gramEnd"/>
      <w:r w:rsidR="00844879">
        <w:t xml:space="preserve"> Vysočina </w:t>
      </w:r>
      <w:r>
        <w:t xml:space="preserve">propaguje sportovní </w:t>
      </w:r>
      <w:proofErr w:type="gramStart"/>
      <w:r>
        <w:t>úspěchy</w:t>
      </w:r>
      <w:proofErr w:type="gramEnd"/>
      <w:r>
        <w:t xml:space="preserve"> krajských sportovců prostřednictvím ankety</w:t>
      </w:r>
      <w:r w:rsidR="00844879">
        <w:t xml:space="preserve"> </w:t>
      </w:r>
      <w:r w:rsidR="00844879" w:rsidRPr="00473501">
        <w:rPr>
          <w:b/>
        </w:rPr>
        <w:t>Sportovec Kraje Vysočina</w:t>
      </w:r>
      <w:r w:rsidR="00844879">
        <w:t>. Anketa se dělí na</w:t>
      </w:r>
      <w:r w:rsidR="007071DE">
        <w:t xml:space="preserve"> dvě části. V odborné části hlas</w:t>
      </w:r>
      <w:r w:rsidR="00844879">
        <w:t xml:space="preserve">uje hodnotící komise složená z odborníků sportovního prostředí, kterou jmenuje rada kraje. </w:t>
      </w:r>
      <w:r w:rsidR="002B3B56">
        <w:t>Druhou částí je anketa určená pro širokou veřejnost, která má možnost nominovat či hlasovat pro sportovce a sportovní kolektiv</w:t>
      </w:r>
      <w:r w:rsidR="00BD6522">
        <w:t>y</w:t>
      </w:r>
      <w:r w:rsidR="002B3B56">
        <w:t>.</w:t>
      </w:r>
    </w:p>
    <w:p w:rsidR="00C617E6" w:rsidRDefault="00C617E6" w:rsidP="007071DE">
      <w:pPr>
        <w:spacing w:before="120"/>
      </w:pPr>
      <w:r>
        <w:t>V průběhu ledna jsou oslovovány sportovní svazy, sportovní kluby a tělo</w:t>
      </w:r>
      <w:r w:rsidR="00911DE6">
        <w:t>výchovné jednoty, aby nominovaly</w:t>
      </w:r>
      <w:r>
        <w:t xml:space="preserve"> sportovce, trenéry či sportovní kolektivy a od 4. února 2022 do 4. března 2022 bude spuštěna veřejná část ankety, která bude zpřístupněna </w:t>
      </w:r>
      <w:r w:rsidR="00465E0E">
        <w:br/>
      </w:r>
      <w:r>
        <w:t>na webových stránkách Kraje Vysočina.</w:t>
      </w:r>
    </w:p>
    <w:p w:rsidR="002B3B56" w:rsidRDefault="002B3B56" w:rsidP="0017793F">
      <w:r>
        <w:t xml:space="preserve">V roce 2021 byla anketa z důvodu vládních restriktivních opatření souvisejících s pandemií </w:t>
      </w:r>
      <w:proofErr w:type="spellStart"/>
      <w:r>
        <w:t>koronaviru</w:t>
      </w:r>
      <w:proofErr w:type="spellEnd"/>
      <w:r>
        <w:t xml:space="preserve"> COVID-19 zrušena. V roce 2022 však již bude vyhlášena</w:t>
      </w:r>
      <w:r w:rsidR="0014185F">
        <w:t xml:space="preserve"> </w:t>
      </w:r>
      <w:r w:rsidR="00213E4F">
        <w:br/>
      </w:r>
      <w:r w:rsidR="0014185F">
        <w:t>ve standartní podobě</w:t>
      </w:r>
      <w:r w:rsidR="00BD6522">
        <w:t>,</w:t>
      </w:r>
      <w:r>
        <w:t xml:space="preserve"> a to včetně tří nových kategorií – Sportovec dvacetiletí, Sportovkyně dvacetiletí a Sportovní stavba dvacetiletí.</w:t>
      </w:r>
    </w:p>
    <w:p w:rsidR="0055258F" w:rsidRPr="0055258F" w:rsidRDefault="009D21D5" w:rsidP="00C5464B">
      <w:r>
        <w:t xml:space="preserve">Další možností propagace a zároveň </w:t>
      </w:r>
      <w:r w:rsidR="00F419D2">
        <w:t>upevňování</w:t>
      </w:r>
      <w:r>
        <w:t xml:space="preserve"> vztahu </w:t>
      </w:r>
      <w:r w:rsidR="00F419D2">
        <w:t xml:space="preserve">dětí ke sportu a Kraji Vysočina je prostřednictvím </w:t>
      </w:r>
      <w:r w:rsidR="00F419D2" w:rsidRPr="00473501">
        <w:rPr>
          <w:b/>
        </w:rPr>
        <w:t>Olympiád</w:t>
      </w:r>
      <w:r w:rsidR="00B80B89" w:rsidRPr="00473501">
        <w:rPr>
          <w:b/>
        </w:rPr>
        <w:t xml:space="preserve"> dětí a mládeže</w:t>
      </w:r>
      <w:r w:rsidR="00F419D2">
        <w:t>. Jedná se o projekt</w:t>
      </w:r>
      <w:r w:rsidR="00B80B89" w:rsidRPr="00B80B89">
        <w:t xml:space="preserve"> Českého olympijského výboru, který si ke spolupráci vybírá jako pořadatele jednotlivé kraje. Olympiády se odehrávají v dvouletých cyklech a střídá se jejich letní a zimní podoba.</w:t>
      </w:r>
      <w:r w:rsidR="00F419D2">
        <w:t xml:space="preserve"> Z důvodu nepříznivé pandemické situace </w:t>
      </w:r>
      <w:r w:rsidR="00BD6522">
        <w:t xml:space="preserve">v roce 2021 </w:t>
      </w:r>
      <w:r w:rsidR="00F419D2">
        <w:t xml:space="preserve">byly Hry X. letní olympiády dětí a mládeže </w:t>
      </w:r>
      <w:r w:rsidR="00C5464B">
        <w:t xml:space="preserve">v Olomouckém kraji </w:t>
      </w:r>
      <w:r w:rsidR="00F419D2">
        <w:t xml:space="preserve">přesunuty na rok 2022. </w:t>
      </w:r>
    </w:p>
    <w:sectPr w:rsidR="0055258F" w:rsidRPr="005525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044" w:rsidRDefault="00394044" w:rsidP="0055258F">
      <w:pPr>
        <w:spacing w:after="0" w:line="240" w:lineRule="auto"/>
      </w:pPr>
      <w:r>
        <w:separator/>
      </w:r>
    </w:p>
  </w:endnote>
  <w:endnote w:type="continuationSeparator" w:id="0">
    <w:p w:rsidR="00394044" w:rsidRDefault="00394044" w:rsidP="00552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4306171"/>
      <w:docPartObj>
        <w:docPartGallery w:val="Page Numbers (Bottom of Page)"/>
        <w:docPartUnique/>
      </w:docPartObj>
    </w:sdtPr>
    <w:sdtEndPr/>
    <w:sdtContent>
      <w:p w:rsidR="00E928BA" w:rsidRDefault="00E928B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EAD">
          <w:rPr>
            <w:noProof/>
          </w:rPr>
          <w:t>6</w:t>
        </w:r>
        <w:r>
          <w:fldChar w:fldCharType="end"/>
        </w:r>
      </w:p>
    </w:sdtContent>
  </w:sdt>
  <w:p w:rsidR="00E928BA" w:rsidRDefault="00E92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044" w:rsidRDefault="00394044" w:rsidP="0055258F">
      <w:pPr>
        <w:spacing w:after="0" w:line="240" w:lineRule="auto"/>
      </w:pPr>
      <w:r>
        <w:separator/>
      </w:r>
    </w:p>
  </w:footnote>
  <w:footnote w:type="continuationSeparator" w:id="0">
    <w:p w:rsidR="00394044" w:rsidRDefault="00394044" w:rsidP="00552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4D3"/>
    <w:multiLevelType w:val="hybridMultilevel"/>
    <w:tmpl w:val="17789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BB7"/>
    <w:multiLevelType w:val="hybridMultilevel"/>
    <w:tmpl w:val="2DEE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138F"/>
    <w:multiLevelType w:val="hybridMultilevel"/>
    <w:tmpl w:val="09229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6BF9"/>
    <w:multiLevelType w:val="hybridMultilevel"/>
    <w:tmpl w:val="DFCE6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C05ED"/>
    <w:multiLevelType w:val="hybridMultilevel"/>
    <w:tmpl w:val="73FC2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E37AB"/>
    <w:multiLevelType w:val="hybridMultilevel"/>
    <w:tmpl w:val="BBF06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03FF"/>
    <w:multiLevelType w:val="hybridMultilevel"/>
    <w:tmpl w:val="DDD0F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F323E"/>
    <w:multiLevelType w:val="hybridMultilevel"/>
    <w:tmpl w:val="768C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E51D5"/>
    <w:multiLevelType w:val="hybridMultilevel"/>
    <w:tmpl w:val="4778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0582D"/>
    <w:multiLevelType w:val="hybridMultilevel"/>
    <w:tmpl w:val="EC04D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80020"/>
    <w:multiLevelType w:val="hybridMultilevel"/>
    <w:tmpl w:val="E0FE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03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A"/>
    <w:rsid w:val="00026A7F"/>
    <w:rsid w:val="00027A28"/>
    <w:rsid w:val="00057049"/>
    <w:rsid w:val="000703E6"/>
    <w:rsid w:val="00086E28"/>
    <w:rsid w:val="00094A20"/>
    <w:rsid w:val="000B239D"/>
    <w:rsid w:val="000B2F2F"/>
    <w:rsid w:val="000B529E"/>
    <w:rsid w:val="000E3191"/>
    <w:rsid w:val="0010664C"/>
    <w:rsid w:val="001122D8"/>
    <w:rsid w:val="00115A8F"/>
    <w:rsid w:val="00125A98"/>
    <w:rsid w:val="00127FF6"/>
    <w:rsid w:val="0014185F"/>
    <w:rsid w:val="001441D3"/>
    <w:rsid w:val="00145E50"/>
    <w:rsid w:val="001540FB"/>
    <w:rsid w:val="00174D9F"/>
    <w:rsid w:val="0017793F"/>
    <w:rsid w:val="00185193"/>
    <w:rsid w:val="001927BC"/>
    <w:rsid w:val="00196A89"/>
    <w:rsid w:val="001A55E1"/>
    <w:rsid w:val="001B6E4A"/>
    <w:rsid w:val="001D3F9D"/>
    <w:rsid w:val="001E24C4"/>
    <w:rsid w:val="001E2AD7"/>
    <w:rsid w:val="00200306"/>
    <w:rsid w:val="00213E4F"/>
    <w:rsid w:val="00220FBF"/>
    <w:rsid w:val="00225621"/>
    <w:rsid w:val="00244BA6"/>
    <w:rsid w:val="002970EE"/>
    <w:rsid w:val="002B069D"/>
    <w:rsid w:val="002B3B56"/>
    <w:rsid w:val="002B6AED"/>
    <w:rsid w:val="002B6EDA"/>
    <w:rsid w:val="002C3F30"/>
    <w:rsid w:val="002F2617"/>
    <w:rsid w:val="00317492"/>
    <w:rsid w:val="00323CE2"/>
    <w:rsid w:val="00327884"/>
    <w:rsid w:val="00352538"/>
    <w:rsid w:val="0036238C"/>
    <w:rsid w:val="00364B24"/>
    <w:rsid w:val="00394044"/>
    <w:rsid w:val="0039406C"/>
    <w:rsid w:val="00397BAF"/>
    <w:rsid w:val="003A7C7F"/>
    <w:rsid w:val="003B299C"/>
    <w:rsid w:val="003B6E04"/>
    <w:rsid w:val="003C7F78"/>
    <w:rsid w:val="003D3637"/>
    <w:rsid w:val="003D63ED"/>
    <w:rsid w:val="003E157A"/>
    <w:rsid w:val="003E4080"/>
    <w:rsid w:val="003E5750"/>
    <w:rsid w:val="003E6D8D"/>
    <w:rsid w:val="003F05B4"/>
    <w:rsid w:val="003F5E05"/>
    <w:rsid w:val="00404A24"/>
    <w:rsid w:val="00423711"/>
    <w:rsid w:val="004449D6"/>
    <w:rsid w:val="00451635"/>
    <w:rsid w:val="00464071"/>
    <w:rsid w:val="00465E0E"/>
    <w:rsid w:val="00473501"/>
    <w:rsid w:val="00492EAD"/>
    <w:rsid w:val="004A6832"/>
    <w:rsid w:val="004B5DDF"/>
    <w:rsid w:val="004D41F7"/>
    <w:rsid w:val="004F5539"/>
    <w:rsid w:val="00513CB8"/>
    <w:rsid w:val="00546093"/>
    <w:rsid w:val="0055258F"/>
    <w:rsid w:val="00572F25"/>
    <w:rsid w:val="00580266"/>
    <w:rsid w:val="005944EF"/>
    <w:rsid w:val="005B2A3D"/>
    <w:rsid w:val="005B4CCD"/>
    <w:rsid w:val="005C1D78"/>
    <w:rsid w:val="005D214E"/>
    <w:rsid w:val="005D42E5"/>
    <w:rsid w:val="005E3BE5"/>
    <w:rsid w:val="005F6E59"/>
    <w:rsid w:val="00625D91"/>
    <w:rsid w:val="0065374C"/>
    <w:rsid w:val="006537BF"/>
    <w:rsid w:val="00663D3B"/>
    <w:rsid w:val="006774B5"/>
    <w:rsid w:val="0068155F"/>
    <w:rsid w:val="0069240D"/>
    <w:rsid w:val="00695C35"/>
    <w:rsid w:val="006A31C8"/>
    <w:rsid w:val="006E662A"/>
    <w:rsid w:val="007071DE"/>
    <w:rsid w:val="00711B96"/>
    <w:rsid w:val="00720829"/>
    <w:rsid w:val="00723191"/>
    <w:rsid w:val="00731F4F"/>
    <w:rsid w:val="007363D2"/>
    <w:rsid w:val="007373E1"/>
    <w:rsid w:val="00777163"/>
    <w:rsid w:val="00783950"/>
    <w:rsid w:val="00790BBD"/>
    <w:rsid w:val="007A5651"/>
    <w:rsid w:val="007A63C2"/>
    <w:rsid w:val="007C34C0"/>
    <w:rsid w:val="0080753D"/>
    <w:rsid w:val="00807FBA"/>
    <w:rsid w:val="00836DF4"/>
    <w:rsid w:val="00844879"/>
    <w:rsid w:val="00851901"/>
    <w:rsid w:val="00871061"/>
    <w:rsid w:val="00872914"/>
    <w:rsid w:val="00880CE4"/>
    <w:rsid w:val="00886D2A"/>
    <w:rsid w:val="00890E1A"/>
    <w:rsid w:val="008A490F"/>
    <w:rsid w:val="008C6661"/>
    <w:rsid w:val="00900B03"/>
    <w:rsid w:val="00911DE6"/>
    <w:rsid w:val="00926EB6"/>
    <w:rsid w:val="00933F9F"/>
    <w:rsid w:val="009535D0"/>
    <w:rsid w:val="00960BFB"/>
    <w:rsid w:val="009613C4"/>
    <w:rsid w:val="009913A0"/>
    <w:rsid w:val="009A0709"/>
    <w:rsid w:val="009B4249"/>
    <w:rsid w:val="009C2B9B"/>
    <w:rsid w:val="009C43B9"/>
    <w:rsid w:val="009C4EBA"/>
    <w:rsid w:val="009D21D5"/>
    <w:rsid w:val="009D3DD0"/>
    <w:rsid w:val="009E2A73"/>
    <w:rsid w:val="009E32EA"/>
    <w:rsid w:val="009E4FEA"/>
    <w:rsid w:val="00A00D54"/>
    <w:rsid w:val="00A02298"/>
    <w:rsid w:val="00A24D48"/>
    <w:rsid w:val="00A564E0"/>
    <w:rsid w:val="00A6224B"/>
    <w:rsid w:val="00A6263A"/>
    <w:rsid w:val="00A668FC"/>
    <w:rsid w:val="00A92FD0"/>
    <w:rsid w:val="00AA16DA"/>
    <w:rsid w:val="00AB5396"/>
    <w:rsid w:val="00AB54B2"/>
    <w:rsid w:val="00AC37AC"/>
    <w:rsid w:val="00AC4B38"/>
    <w:rsid w:val="00AD1CF5"/>
    <w:rsid w:val="00AF0C87"/>
    <w:rsid w:val="00B26A59"/>
    <w:rsid w:val="00B32106"/>
    <w:rsid w:val="00B35D06"/>
    <w:rsid w:val="00B80B89"/>
    <w:rsid w:val="00B83FA5"/>
    <w:rsid w:val="00B868FC"/>
    <w:rsid w:val="00BB216F"/>
    <w:rsid w:val="00BB521C"/>
    <w:rsid w:val="00BD54B7"/>
    <w:rsid w:val="00BD6522"/>
    <w:rsid w:val="00BE714D"/>
    <w:rsid w:val="00BF543D"/>
    <w:rsid w:val="00C2386A"/>
    <w:rsid w:val="00C52BBD"/>
    <w:rsid w:val="00C5464B"/>
    <w:rsid w:val="00C617E6"/>
    <w:rsid w:val="00C74604"/>
    <w:rsid w:val="00C76930"/>
    <w:rsid w:val="00C874E3"/>
    <w:rsid w:val="00C924E7"/>
    <w:rsid w:val="00CA2F7F"/>
    <w:rsid w:val="00CC65E2"/>
    <w:rsid w:val="00CD29A7"/>
    <w:rsid w:val="00CF39FB"/>
    <w:rsid w:val="00D00713"/>
    <w:rsid w:val="00D05C50"/>
    <w:rsid w:val="00D06224"/>
    <w:rsid w:val="00D10951"/>
    <w:rsid w:val="00D36FBA"/>
    <w:rsid w:val="00D542D1"/>
    <w:rsid w:val="00D6736F"/>
    <w:rsid w:val="00D965BC"/>
    <w:rsid w:val="00D97F4A"/>
    <w:rsid w:val="00DC5C30"/>
    <w:rsid w:val="00DD16DD"/>
    <w:rsid w:val="00DF3E25"/>
    <w:rsid w:val="00E02D07"/>
    <w:rsid w:val="00E041B5"/>
    <w:rsid w:val="00E10726"/>
    <w:rsid w:val="00E10C4B"/>
    <w:rsid w:val="00E446DD"/>
    <w:rsid w:val="00E50CCC"/>
    <w:rsid w:val="00E5650C"/>
    <w:rsid w:val="00E656B2"/>
    <w:rsid w:val="00E77D16"/>
    <w:rsid w:val="00E842C3"/>
    <w:rsid w:val="00E928BA"/>
    <w:rsid w:val="00E95B1F"/>
    <w:rsid w:val="00EA7533"/>
    <w:rsid w:val="00EC4650"/>
    <w:rsid w:val="00F232D1"/>
    <w:rsid w:val="00F329B0"/>
    <w:rsid w:val="00F343E6"/>
    <w:rsid w:val="00F419D2"/>
    <w:rsid w:val="00F569AE"/>
    <w:rsid w:val="00F7275E"/>
    <w:rsid w:val="00F72CA1"/>
    <w:rsid w:val="00F83899"/>
    <w:rsid w:val="00F843CD"/>
    <w:rsid w:val="00F95514"/>
    <w:rsid w:val="00F96000"/>
    <w:rsid w:val="00FA280B"/>
    <w:rsid w:val="00FB4BEA"/>
    <w:rsid w:val="00FB78F0"/>
    <w:rsid w:val="00FC5709"/>
    <w:rsid w:val="00FC7238"/>
    <w:rsid w:val="00FC7C00"/>
    <w:rsid w:val="00FD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F736"/>
  <w15:chartTrackingRefBased/>
  <w15:docId w15:val="{85136E9E-1C59-4F5E-B030-00CE66BD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3E25"/>
    <w:pPr>
      <w:spacing w:after="200" w:line="276" w:lineRule="auto"/>
      <w:jc w:val="both"/>
    </w:pPr>
    <w:rPr>
      <w:rFonts w:ascii="Arial" w:eastAsia="Calibri" w:hAnsi="Arial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D16DD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16D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D16D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D16D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D16D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D16D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16D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16D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16D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DD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D16DD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D16DD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D16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D16D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D16D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D16DD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D16DD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D16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D16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55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58F"/>
    <w:rPr>
      <w:rFonts w:ascii="Arial" w:eastAsia="Calibri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5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58F"/>
    <w:rPr>
      <w:rFonts w:ascii="Arial" w:eastAsia="Calibri" w:hAnsi="Arial" w:cs="Times New Roman"/>
      <w:sz w:val="24"/>
    </w:rPr>
  </w:style>
  <w:style w:type="paragraph" w:styleId="Bezmezer">
    <w:name w:val="No Spacing"/>
    <w:uiPriority w:val="1"/>
    <w:qFormat/>
    <w:rsid w:val="00127FF6"/>
    <w:pPr>
      <w:spacing w:after="0" w:line="240" w:lineRule="auto"/>
      <w:jc w:val="both"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8103-8BB0-4301-8F8E-173CB89D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8</Pages>
  <Words>2432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Zdeněk Ing.</dc:creator>
  <cp:keywords/>
  <dc:description/>
  <cp:lastModifiedBy>Beneš Zdeněk Ing.</cp:lastModifiedBy>
  <cp:revision>12</cp:revision>
  <dcterms:created xsi:type="dcterms:W3CDTF">2022-01-11T12:58:00Z</dcterms:created>
  <dcterms:modified xsi:type="dcterms:W3CDTF">2022-01-17T13:29:00Z</dcterms:modified>
</cp:coreProperties>
</file>