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E96A5" w14:textId="040A6498" w:rsidR="00926B13" w:rsidRPr="00765A52" w:rsidRDefault="001C3E02" w:rsidP="00627412">
      <w:pPr>
        <w:pStyle w:val="Nadpis1"/>
        <w:numPr>
          <w:ilvl w:val="0"/>
          <w:numId w:val="0"/>
        </w:numPr>
        <w:ind w:left="432" w:hanging="432"/>
        <w:rPr>
          <w:b/>
          <w:bCs/>
          <w:color w:val="538135" w:themeColor="accent6" w:themeShade="BF"/>
        </w:rPr>
      </w:pPr>
      <w:r w:rsidRPr="001C3E02">
        <w:rPr>
          <w:noProof/>
        </w:rPr>
        <w:drawing>
          <wp:anchor distT="0" distB="0" distL="114300" distR="114300" simplePos="0" relativeHeight="251858944" behindDoc="1" locked="0" layoutInCell="1" allowOverlap="1" wp14:anchorId="1CACB254" wp14:editId="6E5D089C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3600450" cy="2159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4C4">
        <w:rPr>
          <w:b/>
          <w:bCs/>
          <w:color w:val="538135" w:themeColor="accent6" w:themeShade="BF"/>
        </w:rPr>
        <w:t>VY</w:t>
      </w:r>
      <w:r>
        <w:rPr>
          <w:b/>
          <w:bCs/>
          <w:color w:val="538135" w:themeColor="accent6" w:themeShade="BF"/>
        </w:rPr>
        <w:t xml:space="preserve">24. </w:t>
      </w:r>
      <w:proofErr w:type="spellStart"/>
      <w:r>
        <w:rPr>
          <w:b/>
          <w:bCs/>
          <w:color w:val="538135" w:themeColor="accent6" w:themeShade="BF"/>
        </w:rPr>
        <w:t>Smilov</w:t>
      </w:r>
      <w:proofErr w:type="spellEnd"/>
      <w:r w:rsidR="00B74C46" w:rsidRPr="00B74C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76BD8DA" w14:textId="6B283A88" w:rsidR="003734C4" w:rsidRDefault="00EB48F6" w:rsidP="004E7955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EB48F6">
        <w:rPr>
          <w:b/>
          <w:bCs/>
        </w:rPr>
        <w:t xml:space="preserve">KM ID (ÚAP jev </w:t>
      </w:r>
      <w:proofErr w:type="gramStart"/>
      <w:r w:rsidRPr="00EB48F6">
        <w:rPr>
          <w:b/>
          <w:bCs/>
        </w:rPr>
        <w:t>36b</w:t>
      </w:r>
      <w:proofErr w:type="gramEnd"/>
      <w:r w:rsidRPr="00EB48F6">
        <w:rPr>
          <w:b/>
          <w:bCs/>
        </w:rPr>
        <w:t>):</w:t>
      </w:r>
      <w:r w:rsidR="00390C44" w:rsidRPr="00B078DA">
        <w:t xml:space="preserve"> </w:t>
      </w:r>
      <w:r w:rsidR="001153E0">
        <w:t>-</w:t>
      </w:r>
      <w:r w:rsidR="00390C44">
        <w:br/>
      </w:r>
      <w:r w:rsidR="00390C44" w:rsidRPr="00AC5AD4">
        <w:rPr>
          <w:b/>
          <w:bCs/>
        </w:rPr>
        <w:t>Poloha</w:t>
      </w:r>
      <w:r w:rsidR="00390C44" w:rsidRPr="00B078DA">
        <w:t xml:space="preserve">: </w:t>
      </w:r>
      <w:r w:rsidR="001C3E02" w:rsidRPr="001C3E02">
        <w:rPr>
          <w:rFonts w:ascii="Calibri" w:eastAsia="Times New Roman" w:hAnsi="Calibri" w:cs="Calibri"/>
          <w:color w:val="000000"/>
          <w:lang w:eastAsia="cs-CZ"/>
        </w:rPr>
        <w:t>49,524395</w:t>
      </w:r>
      <w:r w:rsidR="001C3E02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3734C4">
        <w:rPr>
          <w:rFonts w:ascii="Calibri" w:eastAsia="Times New Roman" w:hAnsi="Calibri" w:cs="Calibri"/>
          <w:color w:val="000000"/>
          <w:lang w:eastAsia="cs-CZ"/>
        </w:rPr>
        <w:t xml:space="preserve">N, </w:t>
      </w:r>
      <w:r w:rsidR="001C3E02" w:rsidRPr="001C3E02">
        <w:rPr>
          <w:rFonts w:ascii="Calibri" w:eastAsia="Times New Roman" w:hAnsi="Calibri" w:cs="Calibri"/>
          <w:color w:val="000000"/>
          <w:lang w:eastAsia="cs-CZ"/>
        </w:rPr>
        <w:t>15,592855</w:t>
      </w:r>
      <w:r w:rsidR="001C3E02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3734C4">
        <w:rPr>
          <w:rFonts w:ascii="Calibri" w:eastAsia="Times New Roman" w:hAnsi="Calibri" w:cs="Calibri"/>
          <w:color w:val="000000"/>
          <w:lang w:eastAsia="cs-CZ"/>
        </w:rPr>
        <w:t>E</w:t>
      </w:r>
    </w:p>
    <w:p w14:paraId="09C5D011" w14:textId="32FC1584" w:rsidR="0001402D" w:rsidRPr="001C3E02" w:rsidRDefault="00293166" w:rsidP="004E7955">
      <w:pPr>
        <w:spacing w:after="0" w:line="240" w:lineRule="auto"/>
        <w:rPr>
          <w:sz w:val="18"/>
          <w:szCs w:val="18"/>
        </w:rPr>
      </w:pPr>
      <w:r>
        <w:rPr>
          <w:b/>
          <w:bCs/>
        </w:rPr>
        <w:t>Plocha</w:t>
      </w:r>
      <w:r w:rsidR="006424F0" w:rsidRPr="006424F0">
        <w:rPr>
          <w:b/>
          <w:bCs/>
        </w:rPr>
        <w:t xml:space="preserve"> KM</w:t>
      </w:r>
      <w:r w:rsidR="006424F0">
        <w:t>:</w:t>
      </w:r>
      <w:r w:rsidR="00925C93">
        <w:t xml:space="preserve"> </w:t>
      </w:r>
      <w:r w:rsidR="001C3E02">
        <w:t>13,7 ha</w:t>
      </w:r>
      <w:r w:rsidR="00390C44">
        <w:br/>
      </w:r>
      <w:r w:rsidR="00390C44" w:rsidRPr="00AC5AD4">
        <w:rPr>
          <w:b/>
          <w:bCs/>
        </w:rPr>
        <w:t>Katastrální</w:t>
      </w:r>
      <w:r w:rsidR="00390C44" w:rsidRPr="00B078DA">
        <w:t xml:space="preserve"> </w:t>
      </w:r>
      <w:r w:rsidR="00390C44" w:rsidRPr="00AC5AD4">
        <w:rPr>
          <w:b/>
          <w:bCs/>
        </w:rPr>
        <w:t>území</w:t>
      </w:r>
      <w:r w:rsidR="00390C44" w:rsidRPr="00B078DA">
        <w:t xml:space="preserve">: </w:t>
      </w:r>
      <w:proofErr w:type="spellStart"/>
      <w:r w:rsidR="001C3E02" w:rsidRPr="001C3E02">
        <w:rPr>
          <w:sz w:val="18"/>
          <w:szCs w:val="18"/>
        </w:rPr>
        <w:t>Smilov</w:t>
      </w:r>
      <w:proofErr w:type="spellEnd"/>
      <w:r w:rsidR="001C3E02" w:rsidRPr="001C3E02">
        <w:rPr>
          <w:sz w:val="18"/>
          <w:szCs w:val="18"/>
        </w:rPr>
        <w:t xml:space="preserve"> u </w:t>
      </w:r>
      <w:proofErr w:type="spellStart"/>
      <w:r w:rsidR="001C3E02" w:rsidRPr="001C3E02">
        <w:rPr>
          <w:sz w:val="18"/>
          <w:szCs w:val="18"/>
        </w:rPr>
        <w:t>Štoků</w:t>
      </w:r>
      <w:proofErr w:type="spellEnd"/>
      <w:r w:rsidR="001C3E02" w:rsidRPr="001C3E02">
        <w:rPr>
          <w:sz w:val="18"/>
          <w:szCs w:val="18"/>
        </w:rPr>
        <w:t xml:space="preserve">, Okrouhlička, Štoky, Studénka u </w:t>
      </w:r>
      <w:proofErr w:type="spellStart"/>
      <w:r w:rsidR="001C3E02" w:rsidRPr="001C3E02">
        <w:rPr>
          <w:sz w:val="18"/>
          <w:szCs w:val="18"/>
        </w:rPr>
        <w:t>Štoků</w:t>
      </w:r>
      <w:proofErr w:type="spellEnd"/>
      <w:r w:rsidR="00E57EA3">
        <w:rPr>
          <w:sz w:val="18"/>
          <w:szCs w:val="18"/>
        </w:rPr>
        <w:br/>
      </w:r>
      <w:r w:rsidR="00390C44" w:rsidRPr="00AC5AD4">
        <w:rPr>
          <w:b/>
          <w:bCs/>
        </w:rPr>
        <w:t>Průchodnost</w:t>
      </w:r>
      <w:r w:rsidR="00390C44">
        <w:rPr>
          <w:b/>
          <w:bCs/>
        </w:rPr>
        <w:t xml:space="preserve"> KM</w:t>
      </w:r>
      <w:r w:rsidR="00390C44" w:rsidRPr="00B078DA">
        <w:t>:</w:t>
      </w:r>
      <w:r w:rsidR="00390C44" w:rsidRPr="008D17DC">
        <w:t xml:space="preserve"> </w:t>
      </w:r>
      <w:r w:rsidR="00390C44">
        <w:br/>
      </w:r>
      <w:r w:rsidR="00390C44" w:rsidRPr="00AC5AD4">
        <w:rPr>
          <w:b/>
          <w:bCs/>
        </w:rPr>
        <w:t>Navazující KM</w:t>
      </w:r>
      <w:r w:rsidR="00390C44" w:rsidRPr="00B078DA">
        <w:t xml:space="preserve">: </w:t>
      </w:r>
      <w:r w:rsidR="004C540F">
        <w:t>08. Jihlava</w:t>
      </w:r>
      <w:r w:rsidR="00167840">
        <w:br/>
      </w:r>
      <w:r w:rsidR="004D43F9" w:rsidRPr="004D43F9">
        <w:rPr>
          <w:b/>
          <w:bCs/>
        </w:rPr>
        <w:t>Priorita realizace:</w:t>
      </w:r>
      <w:r w:rsidR="004D43F9" w:rsidRPr="004D43F9">
        <w:t xml:space="preserve"> </w:t>
      </w:r>
      <w:r w:rsidR="00D37BA8">
        <w:t>5/5 – velmi vysoká kvůli častým srážkám</w:t>
      </w:r>
      <w:r w:rsidR="0001402D">
        <w:br/>
      </w:r>
      <w:r w:rsidR="007B5024">
        <w:rPr>
          <w:b/>
          <w:bCs/>
        </w:rPr>
        <w:t>Celková n</w:t>
      </w:r>
      <w:r w:rsidR="0001402D" w:rsidRPr="001F69A5">
        <w:rPr>
          <w:b/>
          <w:bCs/>
        </w:rPr>
        <w:t>ákladnost</w:t>
      </w:r>
      <w:r w:rsidR="001F69A5">
        <w:t>:</w:t>
      </w:r>
      <w:r w:rsidR="00D37BA8">
        <w:t xml:space="preserve"> </w:t>
      </w:r>
      <w:r w:rsidR="00D37BA8" w:rsidRPr="00D37BA8">
        <w:t>€ /</w:t>
      </w:r>
      <w:r w:rsidR="00D37BA8" w:rsidRPr="00D37BA8">
        <w:t xml:space="preserve"> </w:t>
      </w:r>
      <w:r w:rsidR="00D37BA8" w:rsidRPr="00D37BA8">
        <w:t xml:space="preserve">€€€ </w:t>
      </w:r>
      <w:r w:rsidR="00D37BA8" w:rsidRPr="00D37BA8">
        <w:t>(nízká)</w:t>
      </w:r>
    </w:p>
    <w:p w14:paraId="03780A0E" w14:textId="77777777" w:rsidR="00043FD3" w:rsidRPr="00277F6D" w:rsidRDefault="00043FD3" w:rsidP="006C172D">
      <w:pPr>
        <w:rPr>
          <w:rFonts w:cstheme="minorHAnsi"/>
        </w:rPr>
      </w:pPr>
    </w:p>
    <w:p w14:paraId="7871ED99" w14:textId="6C4B5A1E" w:rsidR="001544C6" w:rsidRPr="00B845B7" w:rsidRDefault="0098584E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Charakteristika s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>tav</w:t>
      </w:r>
      <w:r w:rsidRPr="00B845B7">
        <w:rPr>
          <w:b/>
          <w:bCs/>
          <w:color w:val="538135" w:themeColor="accent6" w:themeShade="BF"/>
          <w:sz w:val="24"/>
          <w:szCs w:val="24"/>
        </w:rPr>
        <w:t>u</w:t>
      </w:r>
      <w:r w:rsidR="007F2546" w:rsidRPr="00B845B7">
        <w:rPr>
          <w:b/>
          <w:bCs/>
          <w:color w:val="538135" w:themeColor="accent6" w:themeShade="BF"/>
          <w:sz w:val="24"/>
          <w:szCs w:val="24"/>
        </w:rPr>
        <w:t xml:space="preserve"> krajiny</w:t>
      </w:r>
    </w:p>
    <w:p w14:paraId="60FF1785" w14:textId="77B0699A" w:rsidR="005B1E97" w:rsidRDefault="004C540F" w:rsidP="005B1E97">
      <w:pPr>
        <w:jc w:val="both"/>
      </w:pPr>
      <w:r w:rsidRPr="004C540F">
        <w:t>Lesnaté území v současné době silně zasažené kůrovcovou kalamitou</w:t>
      </w:r>
      <w:r>
        <w:t xml:space="preserve">. </w:t>
      </w:r>
      <w:r w:rsidRPr="004C540F">
        <w:t xml:space="preserve">Území KM a na něj navazující migrační koridory nemají statut ochrany, na území KM a v jeho blízkém okolí se nenacházejí žádná zvláště chráněná území či území soustavy Natura 2000. </w:t>
      </w:r>
      <w:r w:rsidR="00215E07" w:rsidRPr="00215E07">
        <w:t>Cca středem KM prochází lokální biokoridor.</w:t>
      </w:r>
      <w:r w:rsidR="00023C84">
        <w:t xml:space="preserve">  </w:t>
      </w:r>
      <w:r w:rsidR="00023C84" w:rsidRPr="00023C84">
        <w:t>Územní plány příslušných obcí nenavrhují do plochy KM nové rozvojové plochy</w:t>
      </w:r>
      <w:r w:rsidR="00CC6101">
        <w:t>, je zde navržena cyklostezky podél silnice I/38</w:t>
      </w:r>
      <w:r>
        <w:t xml:space="preserve">. </w:t>
      </w:r>
      <w:r>
        <w:tab/>
      </w:r>
    </w:p>
    <w:p w14:paraId="5C46A838" w14:textId="77777777" w:rsidR="00BE5A13" w:rsidRPr="00BE5A13" w:rsidRDefault="00BE5A13" w:rsidP="00BE5A13"/>
    <w:p w14:paraId="2543A685" w14:textId="4E0B91CF" w:rsidR="001544C6" w:rsidRPr="00B845B7" w:rsidRDefault="001544C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Migrační bariéry</w:t>
      </w:r>
    </w:p>
    <w:p w14:paraId="40A04515" w14:textId="25426B7E" w:rsidR="00AC5449" w:rsidRDefault="00023C84" w:rsidP="00023C84">
      <w:pPr>
        <w:jc w:val="both"/>
      </w:pPr>
      <w:r w:rsidRPr="00023C84">
        <w:rPr>
          <w:b/>
          <w:bCs/>
        </w:rPr>
        <w:t>Silnice I/38</w:t>
      </w:r>
      <w:r>
        <w:t xml:space="preserve"> – </w:t>
      </w:r>
      <w:r>
        <w:t>hlavní migrační překážk</w:t>
      </w:r>
      <w:r>
        <w:t>a, i</w:t>
      </w:r>
      <w:r w:rsidRPr="00023C84">
        <w:t xml:space="preserve">ntenzita dopravy </w:t>
      </w:r>
      <w:r>
        <w:t>9 062</w:t>
      </w:r>
      <w:r w:rsidRPr="00023C84">
        <w:t xml:space="preserve"> voz. (RPDI – všechny dny, ŘSD 2016).</w:t>
      </w:r>
      <w:r>
        <w:t xml:space="preserve"> </w:t>
      </w:r>
      <w:r>
        <w:t xml:space="preserve">Po obou stranách silnice je les. </w:t>
      </w:r>
      <w:r>
        <w:t>Relativně rychlý úsek, velmi nepřehledný kvůli výraznému zlomu horizontu na vrcholu kopce Vysočina.</w:t>
      </w:r>
      <w:r w:rsidR="004C540F">
        <w:t xml:space="preserve"> Úsek s vysokými srážkami se zvěří.</w:t>
      </w:r>
    </w:p>
    <w:p w14:paraId="4FAC55F3" w14:textId="77777777" w:rsidR="00023C84" w:rsidRPr="00023C84" w:rsidRDefault="00023C84" w:rsidP="00023C84"/>
    <w:p w14:paraId="63597737" w14:textId="2753458F" w:rsidR="001544C6" w:rsidRPr="00B845B7" w:rsidRDefault="007F2546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t>Význam území z hlediska migrací</w:t>
      </w:r>
    </w:p>
    <w:p w14:paraId="7108212C" w14:textId="4E20B85D" w:rsidR="00FC190A" w:rsidRDefault="00FC190A" w:rsidP="00023C84">
      <w:r w:rsidRPr="00FC190A">
        <w:t>KM leží na jedné z mála spojnic této lesnatější oblasti s jádrovou oblastí tvořenou CHKO Žďárské vrchy</w:t>
      </w:r>
      <w:r>
        <w:t>.</w:t>
      </w:r>
    </w:p>
    <w:p w14:paraId="001095C3" w14:textId="1BFE5340" w:rsidR="004E7955" w:rsidRDefault="001C3E02">
      <w:pPr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</w:pPr>
      <w:r w:rsidRPr="001C3E02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59968" behindDoc="0" locked="0" layoutInCell="1" allowOverlap="1" wp14:anchorId="1C3ACFDB" wp14:editId="1A0F7DB6">
            <wp:simplePos x="901700" y="4622800"/>
            <wp:positionH relativeFrom="margin">
              <wp:align>left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1C3E02">
        <w:rPr>
          <w:b/>
          <w:bCs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860992" behindDoc="0" locked="0" layoutInCell="1" allowOverlap="1" wp14:anchorId="1744D868" wp14:editId="09C7EE99">
            <wp:simplePos x="901700" y="4622800"/>
            <wp:positionH relativeFrom="margin">
              <wp:align>right</wp:align>
            </wp:positionH>
            <wp:positionV relativeFrom="margin">
              <wp:align>bottom</wp:align>
            </wp:positionV>
            <wp:extent cx="2768600" cy="1847850"/>
            <wp:effectExtent l="19050" t="19050" r="12700" b="190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E7955">
        <w:rPr>
          <w:b/>
          <w:bCs/>
          <w:color w:val="538135" w:themeColor="accent6" w:themeShade="BF"/>
          <w:sz w:val="24"/>
          <w:szCs w:val="24"/>
        </w:rPr>
        <w:br w:type="page"/>
      </w:r>
    </w:p>
    <w:p w14:paraId="61CD0346" w14:textId="0856BD01" w:rsidR="00C5184A" w:rsidRDefault="00887D6C" w:rsidP="00627412">
      <w:pPr>
        <w:pStyle w:val="Nadpis2"/>
        <w:numPr>
          <w:ilvl w:val="0"/>
          <w:numId w:val="0"/>
        </w:numPr>
        <w:rPr>
          <w:b/>
          <w:bCs/>
          <w:color w:val="538135" w:themeColor="accent6" w:themeShade="BF"/>
          <w:sz w:val="24"/>
          <w:szCs w:val="24"/>
        </w:rPr>
      </w:pPr>
      <w:r w:rsidRPr="00B845B7">
        <w:rPr>
          <w:b/>
          <w:bCs/>
          <w:color w:val="538135" w:themeColor="accent6" w:themeShade="BF"/>
          <w:sz w:val="24"/>
          <w:szCs w:val="24"/>
        </w:rPr>
        <w:lastRenderedPageBreak/>
        <w:t>Návrhy opatření pro zvýšení průchodnosti KM</w:t>
      </w:r>
    </w:p>
    <w:p w14:paraId="029D920E" w14:textId="554BDC9E" w:rsidR="006D0779" w:rsidRDefault="006D0779" w:rsidP="006D0779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37"/>
        <w:gridCol w:w="981"/>
        <w:gridCol w:w="4198"/>
        <w:gridCol w:w="1136"/>
        <w:gridCol w:w="1410"/>
      </w:tblGrid>
      <w:tr w:rsidR="00E65637" w:rsidRPr="0020415C" w14:paraId="4B617949" w14:textId="77777777" w:rsidTr="00597585"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4F73CC9A" w14:textId="77777777" w:rsidR="00E65637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 opatření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14:paraId="287D05B4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Legenda</w:t>
            </w:r>
          </w:p>
        </w:tc>
        <w:tc>
          <w:tcPr>
            <w:tcW w:w="2316" w:type="pct"/>
            <w:shd w:val="clear" w:color="auto" w:fill="D9D9D9" w:themeFill="background1" w:themeFillShade="D9"/>
            <w:vAlign w:val="center"/>
          </w:tcPr>
          <w:p w14:paraId="5F508CC7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Popis</w:t>
            </w:r>
            <w:r w:rsidRPr="0020415C">
              <w:rPr>
                <w:rFonts w:cstheme="minorHAnsi"/>
                <w:b/>
                <w:bCs/>
              </w:rPr>
              <w:t xml:space="preserve"> opatření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30358596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 w:rsidRPr="00043372">
              <w:rPr>
                <w:rFonts w:cstheme="minorHAnsi"/>
                <w:b/>
                <w:bCs/>
              </w:rPr>
              <w:t>Efektiv</w:t>
            </w:r>
            <w:r>
              <w:rPr>
                <w:rFonts w:cstheme="minorHAnsi"/>
                <w:b/>
                <w:bCs/>
              </w:rPr>
              <w:t>ita</w:t>
            </w:r>
            <w:r w:rsidRPr="0004337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opatření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14:paraId="1052966C" w14:textId="77777777" w:rsidR="00E65637" w:rsidRPr="0020415C" w:rsidRDefault="00E65637" w:rsidP="00597585">
            <w:pPr>
              <w:jc w:val="center"/>
              <w:rPr>
                <w:rFonts w:cstheme="minorHAnsi"/>
                <w:b/>
                <w:bCs/>
              </w:rPr>
            </w:pPr>
            <w:r w:rsidRPr="0020415C">
              <w:rPr>
                <w:rFonts w:cstheme="minorHAnsi"/>
                <w:b/>
                <w:bCs/>
              </w:rPr>
              <w:t>Dotčený subjekt</w:t>
            </w:r>
          </w:p>
        </w:tc>
      </w:tr>
      <w:tr w:rsidR="004F1E92" w:rsidRPr="0043090B" w14:paraId="2359DCE3" w14:textId="77777777" w:rsidTr="00424E61">
        <w:trPr>
          <w:trHeight w:val="50"/>
        </w:trPr>
        <w:tc>
          <w:tcPr>
            <w:tcW w:w="738" w:type="pct"/>
            <w:vMerge w:val="restart"/>
            <w:vAlign w:val="center"/>
          </w:tcPr>
          <w:p w14:paraId="7576CD5E" w14:textId="77777777" w:rsidR="004F1E92" w:rsidRDefault="004F1E92" w:rsidP="00CE33B8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54848" behindDoc="1" locked="0" layoutInCell="1" allowOverlap="1" wp14:anchorId="2FF0006F" wp14:editId="254D7B44">
                  <wp:simplePos x="0" y="0"/>
                  <wp:positionH relativeFrom="margin">
                    <wp:posOffset>193040</wp:posOffset>
                  </wp:positionH>
                  <wp:positionV relativeFrom="margin">
                    <wp:posOffset>-34925</wp:posOffset>
                  </wp:positionV>
                  <wp:extent cx="256540" cy="257175"/>
                  <wp:effectExtent l="0" t="0" r="0" b="9525"/>
                  <wp:wrapSquare wrapText="bothSides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0A0">
              <w:rPr>
                <w:rFonts w:cstheme="minorHAnsi"/>
                <w:sz w:val="20"/>
                <w:szCs w:val="20"/>
              </w:rPr>
              <w:t>Úpravy dopravní infrastruktury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9B185E8" w14:textId="51EA7C39" w:rsidR="004F1E92" w:rsidRPr="0026378B" w:rsidRDefault="004F1E92" w:rsidP="00CE33B8">
            <w:pPr>
              <w:jc w:val="center"/>
              <w:rPr>
                <w:rFonts w:cstheme="minorHAnsi"/>
                <w:b/>
                <w:bCs/>
                <w:noProof/>
                <w:color w:val="FF01C4"/>
                <w:sz w:val="28"/>
                <w:szCs w:val="28"/>
              </w:rPr>
            </w:pPr>
            <w:r w:rsidRPr="006B5F75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BAC871A" wp14:editId="14C7B59B">
                  <wp:extent cx="360045" cy="360045"/>
                  <wp:effectExtent l="0" t="0" r="190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  <w:shd w:val="clear" w:color="auto" w:fill="auto"/>
            <w:vAlign w:val="center"/>
          </w:tcPr>
          <w:p w14:paraId="5A6B11BC" w14:textId="1C971B5F" w:rsidR="004F1E92" w:rsidRDefault="004F1E92" w:rsidP="00CE33B8">
            <w:pPr>
              <w:jc w:val="both"/>
              <w:rPr>
                <w:rFonts w:cstheme="minorHAnsi"/>
                <w:sz w:val="20"/>
                <w:szCs w:val="20"/>
              </w:rPr>
            </w:pPr>
            <w:r w:rsidRPr="000735A0">
              <w:rPr>
                <w:rFonts w:cstheme="minorHAnsi"/>
                <w:sz w:val="20"/>
                <w:szCs w:val="20"/>
              </w:rPr>
              <w:t>Dopravní značka „Pozor zvěř“</w:t>
            </w:r>
            <w:r>
              <w:rPr>
                <w:rFonts w:cstheme="minorHAnsi"/>
                <w:sz w:val="20"/>
                <w:szCs w:val="20"/>
              </w:rPr>
              <w:t xml:space="preserve"> s varovnými světly (aktivní pouze za soumraku a svítání).</w:t>
            </w:r>
          </w:p>
        </w:tc>
        <w:tc>
          <w:tcPr>
            <w:tcW w:w="627" w:type="pct"/>
            <w:vAlign w:val="center"/>
          </w:tcPr>
          <w:p w14:paraId="58944E2F" w14:textId="1A0BA175" w:rsidR="004F1E92" w:rsidRPr="0043090B" w:rsidRDefault="004F1E92" w:rsidP="00CE33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090B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  <w:r w:rsidRPr="0043090B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1F43E"/>
                </mc:Choice>
                <mc:Fallback>
                  <w:t>🐾</w:t>
                </mc:Fallback>
              </mc:AlternateConten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14:paraId="4C8848B3" w14:textId="7A3E6324" w:rsidR="004F1E92" w:rsidRPr="00D46B39" w:rsidRDefault="004F1E92" w:rsidP="00CE33B8">
            <w:pPr>
              <w:jc w:val="center"/>
              <w:rPr>
                <w:sz w:val="20"/>
                <w:szCs w:val="20"/>
              </w:rPr>
            </w:pPr>
            <w:r w:rsidRPr="00D46B39">
              <w:rPr>
                <w:sz w:val="20"/>
                <w:szCs w:val="20"/>
              </w:rPr>
              <w:t>Ředitelství silnic a dálnic</w:t>
            </w:r>
          </w:p>
        </w:tc>
      </w:tr>
      <w:tr w:rsidR="004F1E92" w:rsidRPr="0043090B" w14:paraId="1DCE96FD" w14:textId="77777777" w:rsidTr="004F1E92">
        <w:trPr>
          <w:trHeight w:val="933"/>
        </w:trPr>
        <w:tc>
          <w:tcPr>
            <w:tcW w:w="738" w:type="pct"/>
            <w:vMerge/>
            <w:vAlign w:val="center"/>
          </w:tcPr>
          <w:p w14:paraId="1C273596" w14:textId="77777777" w:rsidR="004F1E92" w:rsidRPr="002C683A" w:rsidRDefault="004F1E92" w:rsidP="00597585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14:paraId="273F72CB" w14:textId="77777777" w:rsidR="004F1E92" w:rsidRPr="0094020F" w:rsidRDefault="004F1E92" w:rsidP="00597585">
            <w:pPr>
              <w:jc w:val="center"/>
              <w:rPr>
                <w:rFonts w:cstheme="minorHAnsi"/>
                <w:b/>
                <w:bCs/>
                <w:color w:val="7DFAD0"/>
                <w:sz w:val="48"/>
                <w:szCs w:val="48"/>
              </w:rPr>
            </w:pPr>
            <w:r w:rsidRPr="0026378B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  <w:shd w:val="clear" w:color="auto" w:fill="auto"/>
          </w:tcPr>
          <w:p w14:paraId="027516B7" w14:textId="77777777" w:rsidR="004F1E92" w:rsidRDefault="004F1E92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Omezení rychlosti v celém úseku v nočních hodinách na 70 km/h. </w:t>
            </w:r>
          </w:p>
          <w:p w14:paraId="35E1794F" w14:textId="77777777" w:rsidR="004F1E92" w:rsidRDefault="004F1E92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Zákaz předjíždění v celém úseku. </w:t>
            </w:r>
          </w:p>
          <w:p w14:paraId="282935B9" w14:textId="77777777" w:rsidR="004F1E92" w:rsidRDefault="004F1E92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 xml:space="preserve">Výstražný červený asfalt. </w:t>
            </w:r>
          </w:p>
          <w:p w14:paraId="48238B2B" w14:textId="25F7A2B1" w:rsidR="004F1E92" w:rsidRPr="00CE33B8" w:rsidRDefault="004F1E92" w:rsidP="00CE33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CE33B8">
              <w:rPr>
                <w:rFonts w:cstheme="minorHAnsi"/>
                <w:sz w:val="20"/>
                <w:szCs w:val="20"/>
              </w:rPr>
              <w:t>Odrazky proti zvěři.</w:t>
            </w:r>
          </w:p>
        </w:tc>
        <w:tc>
          <w:tcPr>
            <w:tcW w:w="627" w:type="pct"/>
            <w:vAlign w:val="center"/>
          </w:tcPr>
          <w:p w14:paraId="169EDE05" w14:textId="7F48B72C" w:rsidR="004F1E92" w:rsidRPr="0043090B" w:rsidRDefault="004F1E92" w:rsidP="0059758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2CE2">
              <w:rPr>
                <w:color w:val="000000" w:themeColor="text1"/>
                <w:sz w:val="20"/>
                <w:szCs w:val="20"/>
              </w:rPr>
              <w:t xml:space="preserve">€€ / </w:t>
            </w:r>
            <w:r w:rsidRPr="00802CE2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778" w:type="pct"/>
            <w:vMerge/>
            <w:shd w:val="clear" w:color="auto" w:fill="auto"/>
            <w:vAlign w:val="center"/>
          </w:tcPr>
          <w:p w14:paraId="67B820C8" w14:textId="77777777" w:rsidR="004F1E92" w:rsidRPr="00185D3E" w:rsidRDefault="004F1E92" w:rsidP="00597585">
            <w:pPr>
              <w:jc w:val="center"/>
              <w:rPr>
                <w:sz w:val="20"/>
                <w:szCs w:val="20"/>
              </w:rPr>
            </w:pPr>
          </w:p>
        </w:tc>
      </w:tr>
      <w:tr w:rsidR="004F1E92" w:rsidRPr="0043090B" w14:paraId="2B7B9212" w14:textId="77777777" w:rsidTr="00597585">
        <w:trPr>
          <w:trHeight w:val="548"/>
        </w:trPr>
        <w:tc>
          <w:tcPr>
            <w:tcW w:w="738" w:type="pct"/>
            <w:vAlign w:val="center"/>
          </w:tcPr>
          <w:p w14:paraId="3A37D542" w14:textId="760404D1" w:rsidR="004F1E92" w:rsidRDefault="004F1E92" w:rsidP="005B53D3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852800" behindDoc="1" locked="0" layoutInCell="1" allowOverlap="1" wp14:anchorId="1339C455" wp14:editId="32F3BCDD">
                  <wp:simplePos x="0" y="0"/>
                  <wp:positionH relativeFrom="margin">
                    <wp:posOffset>182245</wp:posOffset>
                  </wp:positionH>
                  <wp:positionV relativeFrom="margin">
                    <wp:posOffset>-46355</wp:posOffset>
                  </wp:positionV>
                  <wp:extent cx="287020" cy="294005"/>
                  <wp:effectExtent l="0" t="0" r="0" b="0"/>
                  <wp:wrapSquare wrapText="bothSides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4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020F">
              <w:rPr>
                <w:rFonts w:cstheme="minorHAnsi"/>
                <w:sz w:val="20"/>
                <w:szCs w:val="20"/>
              </w:rPr>
              <w:t>Krajinný management</w:t>
            </w:r>
          </w:p>
        </w:tc>
        <w:tc>
          <w:tcPr>
            <w:tcW w:w="541" w:type="pct"/>
            <w:vAlign w:val="center"/>
          </w:tcPr>
          <w:p w14:paraId="0AFD18AD" w14:textId="46FD6599" w:rsidR="004F1E92" w:rsidRPr="00DD0640" w:rsidRDefault="004F1E92" w:rsidP="005B53D3">
            <w:pPr>
              <w:jc w:val="center"/>
            </w:pPr>
            <w:r w:rsidRPr="0026378B">
              <w:rPr>
                <w:rFonts w:cstheme="minorHAnsi"/>
                <w:b/>
                <w:bCs/>
                <w:color w:val="005BE7"/>
                <w:sz w:val="48"/>
                <w:szCs w:val="48"/>
              </w:rPr>
              <w:t>---</w:t>
            </w:r>
          </w:p>
        </w:tc>
        <w:tc>
          <w:tcPr>
            <w:tcW w:w="2316" w:type="pct"/>
          </w:tcPr>
          <w:p w14:paraId="2AA85434" w14:textId="68CAD786" w:rsidR="004F1E92" w:rsidRPr="0094020F" w:rsidRDefault="004F1E92" w:rsidP="005B53D3">
            <w:pPr>
              <w:jc w:val="both"/>
              <w:rPr>
                <w:rFonts w:cstheme="minorHAnsi"/>
                <w:sz w:val="20"/>
                <w:szCs w:val="20"/>
              </w:rPr>
            </w:pPr>
            <w:r w:rsidRPr="004F1E92">
              <w:rPr>
                <w:rFonts w:cstheme="minorHAnsi"/>
                <w:sz w:val="20"/>
                <w:szCs w:val="20"/>
              </w:rPr>
              <w:t xml:space="preserve">Realizace pásu bezlesí pro zvýšení přehlednosti úseku pro řidiče i živočichy o šířce </w:t>
            </w:r>
            <w:proofErr w:type="gramStart"/>
            <w:r w:rsidRPr="004F1E92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– 10</w:t>
            </w:r>
            <w:proofErr w:type="gramEnd"/>
            <w:r w:rsidRPr="004F1E92">
              <w:rPr>
                <w:rFonts w:cstheme="minorHAnsi"/>
                <w:sz w:val="20"/>
                <w:szCs w:val="20"/>
              </w:rPr>
              <w:t xml:space="preserve"> m od okraje vozovky. Na tomto pásu bude nutné pravidelně udržovat nízkou vegetaci kosením – tj. je nutné určit správce pásu bezlesí.</w:t>
            </w:r>
          </w:p>
        </w:tc>
        <w:tc>
          <w:tcPr>
            <w:tcW w:w="627" w:type="pct"/>
            <w:vAlign w:val="center"/>
          </w:tcPr>
          <w:p w14:paraId="16B320F1" w14:textId="63B8F772" w:rsidR="004F1E92" w:rsidRPr="00DD0640" w:rsidRDefault="004F1E92" w:rsidP="005B53D3">
            <w:pPr>
              <w:jc w:val="center"/>
              <w:rPr>
                <w:sz w:val="20"/>
                <w:szCs w:val="20"/>
              </w:rPr>
            </w:pPr>
            <w:r w:rsidRPr="00802CE2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802CE2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778" w:type="pct"/>
            <w:vAlign w:val="center"/>
          </w:tcPr>
          <w:p w14:paraId="71036D0D" w14:textId="3EB4210C" w:rsidR="004F1E92" w:rsidRPr="00D46B39" w:rsidRDefault="004F1E92" w:rsidP="005B53D3">
            <w:pPr>
              <w:jc w:val="center"/>
              <w:rPr>
                <w:sz w:val="20"/>
                <w:szCs w:val="20"/>
              </w:rPr>
            </w:pPr>
            <w:r w:rsidRPr="00D46B39">
              <w:rPr>
                <w:sz w:val="20"/>
                <w:szCs w:val="20"/>
              </w:rPr>
              <w:t>Ředitelství silnic a dálnic</w:t>
            </w:r>
            <w:r>
              <w:rPr>
                <w:sz w:val="20"/>
                <w:szCs w:val="20"/>
              </w:rPr>
              <w:t>, vlastníci pozemků</w:t>
            </w:r>
          </w:p>
        </w:tc>
      </w:tr>
      <w:tr w:rsidR="00CC6101" w:rsidRPr="0043090B" w14:paraId="513F8F5F" w14:textId="77777777" w:rsidTr="00597585">
        <w:trPr>
          <w:trHeight w:val="548"/>
        </w:trPr>
        <w:tc>
          <w:tcPr>
            <w:tcW w:w="738" w:type="pct"/>
            <w:vAlign w:val="center"/>
          </w:tcPr>
          <w:p w14:paraId="5D0BBA2E" w14:textId="7E39F346" w:rsidR="00CC6101" w:rsidRDefault="00CC6101" w:rsidP="00CC6101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1036C54F" wp14:editId="203C2B5D">
                  <wp:extent cx="257143" cy="257143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3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C4193" w14:textId="25F257F8" w:rsidR="00CC6101" w:rsidRDefault="00CC6101" w:rsidP="00CC6101">
            <w:pPr>
              <w:jc w:val="center"/>
              <w:rPr>
                <w:noProof/>
                <w:lang w:eastAsia="cs-CZ"/>
              </w:rPr>
            </w:pPr>
            <w:r w:rsidRPr="00CC6101">
              <w:rPr>
                <w:noProof/>
                <w:sz w:val="20"/>
                <w:szCs w:val="20"/>
                <w:lang w:eastAsia="cs-CZ"/>
              </w:rPr>
              <w:t>Územní plánování</w:t>
            </w:r>
          </w:p>
        </w:tc>
        <w:tc>
          <w:tcPr>
            <w:tcW w:w="541" w:type="pct"/>
            <w:vAlign w:val="center"/>
          </w:tcPr>
          <w:p w14:paraId="5C0C935F" w14:textId="5C90D2FB" w:rsidR="00CC6101" w:rsidRPr="00CC6101" w:rsidRDefault="00CC6101" w:rsidP="00CC6101">
            <w:pPr>
              <w:jc w:val="center"/>
            </w:pPr>
            <w:r w:rsidRPr="00CC6101">
              <w:rPr>
                <w:sz w:val="20"/>
                <w:szCs w:val="20"/>
              </w:rPr>
              <w:t>bez legendy na mapě</w:t>
            </w:r>
          </w:p>
        </w:tc>
        <w:tc>
          <w:tcPr>
            <w:tcW w:w="2316" w:type="pct"/>
          </w:tcPr>
          <w:p w14:paraId="697E7DB9" w14:textId="72D0B3B0" w:rsidR="00CC6101" w:rsidRPr="004F1E92" w:rsidRDefault="00CC6101" w:rsidP="005B53D3">
            <w:pPr>
              <w:jc w:val="both"/>
              <w:rPr>
                <w:rFonts w:cstheme="minorHAnsi"/>
                <w:sz w:val="20"/>
                <w:szCs w:val="20"/>
              </w:rPr>
            </w:pPr>
            <w:r w:rsidRPr="00CC6101">
              <w:rPr>
                <w:rFonts w:cstheme="minorHAnsi"/>
                <w:sz w:val="20"/>
                <w:szCs w:val="20"/>
              </w:rPr>
              <w:t>Cyklostezka Štoky – Antonín Důl: Je nutné, aby cyklostezka nebyla v místě průchodu KM osvětlena, byla nezpevněná a měla by vést minimálně 10-15 m od silnic. V prostoru mezi cyklostezkou a silnicí je vhodné nevysazovat žádnou vegetaci, ale ponechat zde pouze pravidelně udržovaný travnatý pás pro zachování přehlednosti úseku.</w:t>
            </w:r>
          </w:p>
        </w:tc>
        <w:tc>
          <w:tcPr>
            <w:tcW w:w="627" w:type="pct"/>
            <w:vAlign w:val="center"/>
          </w:tcPr>
          <w:p w14:paraId="34AA16B9" w14:textId="2D4235A4" w:rsidR="00CC6101" w:rsidRPr="00802CE2" w:rsidRDefault="00D37BA8" w:rsidP="005B53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7BA8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D37BA8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</w:t>
            </w:r>
          </w:p>
        </w:tc>
        <w:tc>
          <w:tcPr>
            <w:tcW w:w="778" w:type="pct"/>
            <w:vAlign w:val="center"/>
          </w:tcPr>
          <w:p w14:paraId="7C367BFD" w14:textId="4CF70646" w:rsidR="00CC6101" w:rsidRPr="00D46B39" w:rsidRDefault="00D37BA8" w:rsidP="005B5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 </w:t>
            </w:r>
            <w:proofErr w:type="spellStart"/>
            <w:r w:rsidRPr="00D37BA8">
              <w:rPr>
                <w:sz w:val="20"/>
                <w:szCs w:val="20"/>
              </w:rPr>
              <w:t>Smilov</w:t>
            </w:r>
            <w:proofErr w:type="spellEnd"/>
            <w:r w:rsidRPr="00D37BA8">
              <w:rPr>
                <w:sz w:val="20"/>
                <w:szCs w:val="20"/>
              </w:rPr>
              <w:t xml:space="preserve"> u </w:t>
            </w:r>
            <w:proofErr w:type="spellStart"/>
            <w:r w:rsidRPr="00D37BA8">
              <w:rPr>
                <w:sz w:val="20"/>
                <w:szCs w:val="20"/>
              </w:rPr>
              <w:t>Štoků</w:t>
            </w:r>
            <w:proofErr w:type="spellEnd"/>
            <w:r w:rsidRPr="00D37BA8">
              <w:rPr>
                <w:sz w:val="20"/>
                <w:szCs w:val="20"/>
              </w:rPr>
              <w:t xml:space="preserve">, Okrouhlička, Štoky, Studénka u </w:t>
            </w:r>
            <w:proofErr w:type="spellStart"/>
            <w:r w:rsidRPr="00D37BA8">
              <w:rPr>
                <w:sz w:val="20"/>
                <w:szCs w:val="20"/>
              </w:rPr>
              <w:t>Štoků</w:t>
            </w:r>
            <w:proofErr w:type="spellEnd"/>
          </w:p>
        </w:tc>
      </w:tr>
      <w:tr w:rsidR="00F6668A" w:rsidRPr="0043090B" w14:paraId="161D7495" w14:textId="77777777" w:rsidTr="00597585">
        <w:trPr>
          <w:trHeight w:val="548"/>
        </w:trPr>
        <w:tc>
          <w:tcPr>
            <w:tcW w:w="738" w:type="pct"/>
            <w:vAlign w:val="center"/>
          </w:tcPr>
          <w:p w14:paraId="016655EC" w14:textId="77777777" w:rsidR="00F6668A" w:rsidRDefault="00F6668A" w:rsidP="00CC6101">
            <w:pPr>
              <w:jc w:val="center"/>
              <w:rPr>
                <w:noProof/>
              </w:rPr>
            </w:pPr>
            <w:bookmarkStart w:id="0" w:name="_Hlk52471743"/>
            <w:r>
              <w:rPr>
                <w:noProof/>
                <w:lang w:eastAsia="cs-CZ"/>
              </w:rPr>
              <w:drawing>
                <wp:inline distT="0" distB="0" distL="0" distR="0" wp14:anchorId="6BD7B523" wp14:editId="128BB0D8">
                  <wp:extent cx="285750" cy="310413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" cy="316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662207" w14:textId="2A69E1DA" w:rsidR="00F6668A" w:rsidRDefault="00F6668A" w:rsidP="00CC6101">
            <w:pPr>
              <w:jc w:val="center"/>
              <w:rPr>
                <w:noProof/>
              </w:rPr>
            </w:pPr>
            <w:r>
              <w:rPr>
                <w:noProof/>
              </w:rPr>
              <w:t>Ostatní</w:t>
            </w:r>
          </w:p>
        </w:tc>
        <w:tc>
          <w:tcPr>
            <w:tcW w:w="541" w:type="pct"/>
            <w:vAlign w:val="center"/>
          </w:tcPr>
          <w:p w14:paraId="6E344DCB" w14:textId="04B2BCEB" w:rsidR="00F6668A" w:rsidRPr="00CC6101" w:rsidRDefault="00F6668A" w:rsidP="00CC6101">
            <w:pPr>
              <w:jc w:val="center"/>
              <w:rPr>
                <w:sz w:val="20"/>
                <w:szCs w:val="20"/>
              </w:rPr>
            </w:pPr>
            <w:r w:rsidRPr="00CC6101">
              <w:rPr>
                <w:sz w:val="20"/>
                <w:szCs w:val="20"/>
              </w:rPr>
              <w:t>bez legendy na mapě</w:t>
            </w:r>
          </w:p>
        </w:tc>
        <w:tc>
          <w:tcPr>
            <w:tcW w:w="2316" w:type="pct"/>
          </w:tcPr>
          <w:p w14:paraId="67995882" w14:textId="5835DCF6" w:rsidR="00F6668A" w:rsidRPr="00CC6101" w:rsidRDefault="00F6668A" w:rsidP="005B53D3">
            <w:pPr>
              <w:jc w:val="both"/>
              <w:rPr>
                <w:rFonts w:cstheme="minorHAnsi"/>
                <w:sz w:val="20"/>
                <w:szCs w:val="20"/>
              </w:rPr>
            </w:pPr>
            <w:r w:rsidRPr="00F6668A">
              <w:rPr>
                <w:rFonts w:cstheme="minorHAnsi"/>
                <w:sz w:val="20"/>
                <w:szCs w:val="20"/>
              </w:rPr>
              <w:t>Změn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F6668A">
              <w:rPr>
                <w:rFonts w:cstheme="minorHAnsi"/>
                <w:sz w:val="20"/>
                <w:szCs w:val="20"/>
              </w:rPr>
              <w:t xml:space="preserve"> ve vrstvě migračních koridorů</w:t>
            </w:r>
            <w:r>
              <w:rPr>
                <w:rFonts w:cstheme="minorHAnsi"/>
                <w:sz w:val="20"/>
                <w:szCs w:val="20"/>
              </w:rPr>
              <w:t xml:space="preserve"> – doplnění toho kritického místa do vrstvy jevu </w:t>
            </w:r>
            <w:proofErr w:type="gramStart"/>
            <w:r>
              <w:rPr>
                <w:rFonts w:cstheme="minorHAnsi"/>
                <w:sz w:val="20"/>
                <w:szCs w:val="20"/>
              </w:rPr>
              <w:t>36b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7" w:type="pct"/>
            <w:vAlign w:val="center"/>
          </w:tcPr>
          <w:p w14:paraId="00E5657F" w14:textId="3AA63662" w:rsidR="00F6668A" w:rsidRPr="00D37BA8" w:rsidRDefault="00F6668A" w:rsidP="005B53D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7BA8">
              <w:rPr>
                <w:color w:val="000000" w:themeColor="text1"/>
                <w:sz w:val="20"/>
                <w:szCs w:val="20"/>
              </w:rPr>
              <w:t xml:space="preserve">€ / </w:t>
            </w:r>
            <w:r w:rsidRPr="00D37BA8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🐾🐾🐾</w:t>
            </w:r>
          </w:p>
        </w:tc>
        <w:tc>
          <w:tcPr>
            <w:tcW w:w="778" w:type="pct"/>
            <w:vAlign w:val="center"/>
          </w:tcPr>
          <w:p w14:paraId="7B736CAF" w14:textId="5E6AEEF7" w:rsidR="00F6668A" w:rsidRDefault="00F6668A" w:rsidP="005B5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AOPK</w:t>
            </w:r>
          </w:p>
        </w:tc>
      </w:tr>
      <w:bookmarkEnd w:id="0"/>
    </w:tbl>
    <w:p w14:paraId="5A5B7F13" w14:textId="77777777" w:rsidR="00E65637" w:rsidRPr="006D0779" w:rsidRDefault="00E65637" w:rsidP="006D0779"/>
    <w:p w14:paraId="6109FB9A" w14:textId="77777777" w:rsidR="006D0779" w:rsidRDefault="006D0779">
      <w:pPr>
        <w:rPr>
          <w:rFonts w:cstheme="minorHAnsi"/>
        </w:rPr>
      </w:pPr>
    </w:p>
    <w:p w14:paraId="5E9B0384" w14:textId="78CC954E" w:rsidR="004E7955" w:rsidRDefault="001C3E02">
      <w:pPr>
        <w:rPr>
          <w:rFonts w:cstheme="minorHAnsi"/>
        </w:rPr>
      </w:pPr>
      <w:r w:rsidRPr="001C3E02">
        <w:rPr>
          <w:rFonts w:cstheme="minorHAnsi"/>
          <w:noProof/>
        </w:rPr>
        <w:drawing>
          <wp:inline distT="0" distB="0" distL="0" distR="0" wp14:anchorId="02C763B5" wp14:editId="67458C0F">
            <wp:extent cx="5760720" cy="3235960"/>
            <wp:effectExtent l="19050" t="19050" r="11430" b="215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420101" w14:textId="0277982F" w:rsidR="00B86099" w:rsidRDefault="001A7027">
      <w:pPr>
        <w:rPr>
          <w:rFonts w:cstheme="minorHAnsi"/>
        </w:rPr>
      </w:pPr>
      <w:r w:rsidRPr="001A7027">
        <w:t xml:space="preserve"> </w:t>
      </w:r>
    </w:p>
    <w:sectPr w:rsidR="00B86099" w:rsidSect="0041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3168"/>
    <w:multiLevelType w:val="hybridMultilevel"/>
    <w:tmpl w:val="381A8E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62A31"/>
    <w:multiLevelType w:val="hybridMultilevel"/>
    <w:tmpl w:val="AEC071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82801"/>
    <w:multiLevelType w:val="hybridMultilevel"/>
    <w:tmpl w:val="C35667E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D9750A"/>
    <w:multiLevelType w:val="hybridMultilevel"/>
    <w:tmpl w:val="05004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24F4"/>
    <w:multiLevelType w:val="hybridMultilevel"/>
    <w:tmpl w:val="AF2A6FF0"/>
    <w:lvl w:ilvl="0" w:tplc="5066AF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5289E"/>
    <w:multiLevelType w:val="hybridMultilevel"/>
    <w:tmpl w:val="C8F4BB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9742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E7"/>
    <w:rsid w:val="000006B9"/>
    <w:rsid w:val="00002317"/>
    <w:rsid w:val="00002B62"/>
    <w:rsid w:val="000039F1"/>
    <w:rsid w:val="00006F02"/>
    <w:rsid w:val="00007068"/>
    <w:rsid w:val="000100CB"/>
    <w:rsid w:val="0001402D"/>
    <w:rsid w:val="00023C84"/>
    <w:rsid w:val="0002414B"/>
    <w:rsid w:val="0003002C"/>
    <w:rsid w:val="00043372"/>
    <w:rsid w:val="00043FD3"/>
    <w:rsid w:val="00051E35"/>
    <w:rsid w:val="00057A4B"/>
    <w:rsid w:val="000674AB"/>
    <w:rsid w:val="00071BB2"/>
    <w:rsid w:val="000735A0"/>
    <w:rsid w:val="00075EAE"/>
    <w:rsid w:val="00077154"/>
    <w:rsid w:val="00077354"/>
    <w:rsid w:val="00080C16"/>
    <w:rsid w:val="0008115C"/>
    <w:rsid w:val="00093DA3"/>
    <w:rsid w:val="0009430C"/>
    <w:rsid w:val="000968A2"/>
    <w:rsid w:val="00097403"/>
    <w:rsid w:val="000A6515"/>
    <w:rsid w:val="000B17DE"/>
    <w:rsid w:val="000C2933"/>
    <w:rsid w:val="000C4E12"/>
    <w:rsid w:val="000C5678"/>
    <w:rsid w:val="000D1677"/>
    <w:rsid w:val="000D5884"/>
    <w:rsid w:val="000E3558"/>
    <w:rsid w:val="000E4957"/>
    <w:rsid w:val="000F2F95"/>
    <w:rsid w:val="000F5A7C"/>
    <w:rsid w:val="001153E0"/>
    <w:rsid w:val="00130147"/>
    <w:rsid w:val="001451CB"/>
    <w:rsid w:val="00145DF5"/>
    <w:rsid w:val="001461C6"/>
    <w:rsid w:val="00150B44"/>
    <w:rsid w:val="00151361"/>
    <w:rsid w:val="00152228"/>
    <w:rsid w:val="001544C6"/>
    <w:rsid w:val="0015648D"/>
    <w:rsid w:val="00163F88"/>
    <w:rsid w:val="0016597C"/>
    <w:rsid w:val="00167840"/>
    <w:rsid w:val="001715E0"/>
    <w:rsid w:val="00171FED"/>
    <w:rsid w:val="001777AF"/>
    <w:rsid w:val="001825C9"/>
    <w:rsid w:val="00183018"/>
    <w:rsid w:val="00185D3E"/>
    <w:rsid w:val="00195168"/>
    <w:rsid w:val="0019619D"/>
    <w:rsid w:val="001A6A24"/>
    <w:rsid w:val="001A7027"/>
    <w:rsid w:val="001B20AB"/>
    <w:rsid w:val="001B2AC3"/>
    <w:rsid w:val="001B7781"/>
    <w:rsid w:val="001C1C7E"/>
    <w:rsid w:val="001C3E02"/>
    <w:rsid w:val="001D75ED"/>
    <w:rsid w:val="001E4AC9"/>
    <w:rsid w:val="001E582A"/>
    <w:rsid w:val="001F3357"/>
    <w:rsid w:val="001F69A5"/>
    <w:rsid w:val="00203A77"/>
    <w:rsid w:val="0020415C"/>
    <w:rsid w:val="0020459B"/>
    <w:rsid w:val="002048FA"/>
    <w:rsid w:val="00207E81"/>
    <w:rsid w:val="00215E07"/>
    <w:rsid w:val="00233704"/>
    <w:rsid w:val="00240443"/>
    <w:rsid w:val="00240921"/>
    <w:rsid w:val="002423EB"/>
    <w:rsid w:val="0025736F"/>
    <w:rsid w:val="0026378B"/>
    <w:rsid w:val="00271A8F"/>
    <w:rsid w:val="00275169"/>
    <w:rsid w:val="00276072"/>
    <w:rsid w:val="00277F6D"/>
    <w:rsid w:val="00283A31"/>
    <w:rsid w:val="00284B95"/>
    <w:rsid w:val="00293166"/>
    <w:rsid w:val="002A50C5"/>
    <w:rsid w:val="002A560F"/>
    <w:rsid w:val="002A6E2D"/>
    <w:rsid w:val="002B7597"/>
    <w:rsid w:val="002C1A9B"/>
    <w:rsid w:val="002D2B23"/>
    <w:rsid w:val="002D3C04"/>
    <w:rsid w:val="002F70CA"/>
    <w:rsid w:val="003030EA"/>
    <w:rsid w:val="0030586F"/>
    <w:rsid w:val="00310F94"/>
    <w:rsid w:val="0031446D"/>
    <w:rsid w:val="0034595E"/>
    <w:rsid w:val="00350A05"/>
    <w:rsid w:val="00351EDE"/>
    <w:rsid w:val="00353A92"/>
    <w:rsid w:val="003734C4"/>
    <w:rsid w:val="003763DF"/>
    <w:rsid w:val="00380AFD"/>
    <w:rsid w:val="00387647"/>
    <w:rsid w:val="00390C44"/>
    <w:rsid w:val="00393616"/>
    <w:rsid w:val="003A449F"/>
    <w:rsid w:val="003A75CD"/>
    <w:rsid w:val="003B15B8"/>
    <w:rsid w:val="003B1A95"/>
    <w:rsid w:val="003B53D0"/>
    <w:rsid w:val="003C7324"/>
    <w:rsid w:val="003E2DCC"/>
    <w:rsid w:val="003E56BE"/>
    <w:rsid w:val="003E5994"/>
    <w:rsid w:val="003E7AFD"/>
    <w:rsid w:val="003F05A6"/>
    <w:rsid w:val="003F79A5"/>
    <w:rsid w:val="0040791E"/>
    <w:rsid w:val="00414E4A"/>
    <w:rsid w:val="004176DB"/>
    <w:rsid w:val="0044182E"/>
    <w:rsid w:val="00442CAA"/>
    <w:rsid w:val="00463DA0"/>
    <w:rsid w:val="00464539"/>
    <w:rsid w:val="004676C9"/>
    <w:rsid w:val="00481D70"/>
    <w:rsid w:val="004A05ED"/>
    <w:rsid w:val="004C4584"/>
    <w:rsid w:val="004C53DA"/>
    <w:rsid w:val="004C53EC"/>
    <w:rsid w:val="004C540F"/>
    <w:rsid w:val="004C5E39"/>
    <w:rsid w:val="004C6081"/>
    <w:rsid w:val="004D209F"/>
    <w:rsid w:val="004D43F9"/>
    <w:rsid w:val="004D456B"/>
    <w:rsid w:val="004E30D4"/>
    <w:rsid w:val="004E4D54"/>
    <w:rsid w:val="004E7955"/>
    <w:rsid w:val="004F1E92"/>
    <w:rsid w:val="004F3C27"/>
    <w:rsid w:val="004F43E8"/>
    <w:rsid w:val="004F67CE"/>
    <w:rsid w:val="004F7359"/>
    <w:rsid w:val="00505E8E"/>
    <w:rsid w:val="005068B3"/>
    <w:rsid w:val="00506BB3"/>
    <w:rsid w:val="0050787C"/>
    <w:rsid w:val="0051020B"/>
    <w:rsid w:val="00534E13"/>
    <w:rsid w:val="005501D8"/>
    <w:rsid w:val="00550F58"/>
    <w:rsid w:val="005567FC"/>
    <w:rsid w:val="0055691C"/>
    <w:rsid w:val="0055793D"/>
    <w:rsid w:val="00561B91"/>
    <w:rsid w:val="00571ADF"/>
    <w:rsid w:val="00585E4A"/>
    <w:rsid w:val="00595FA0"/>
    <w:rsid w:val="00597D28"/>
    <w:rsid w:val="005A2E1F"/>
    <w:rsid w:val="005A33C1"/>
    <w:rsid w:val="005A48D2"/>
    <w:rsid w:val="005B1E97"/>
    <w:rsid w:val="005B53D3"/>
    <w:rsid w:val="005B5B66"/>
    <w:rsid w:val="005E4199"/>
    <w:rsid w:val="005E4A7B"/>
    <w:rsid w:val="005F2E79"/>
    <w:rsid w:val="0060364F"/>
    <w:rsid w:val="006108DC"/>
    <w:rsid w:val="00613EA0"/>
    <w:rsid w:val="00617906"/>
    <w:rsid w:val="00627412"/>
    <w:rsid w:val="00627544"/>
    <w:rsid w:val="00633A00"/>
    <w:rsid w:val="006374DC"/>
    <w:rsid w:val="006424F0"/>
    <w:rsid w:val="00646E46"/>
    <w:rsid w:val="00651238"/>
    <w:rsid w:val="00652468"/>
    <w:rsid w:val="00673039"/>
    <w:rsid w:val="00675B73"/>
    <w:rsid w:val="006817D0"/>
    <w:rsid w:val="00697470"/>
    <w:rsid w:val="006A4BD4"/>
    <w:rsid w:val="006B5F75"/>
    <w:rsid w:val="006B77A9"/>
    <w:rsid w:val="006C0129"/>
    <w:rsid w:val="006C035A"/>
    <w:rsid w:val="006C172D"/>
    <w:rsid w:val="006C4BEC"/>
    <w:rsid w:val="006C7DCD"/>
    <w:rsid w:val="006D0779"/>
    <w:rsid w:val="006D0C21"/>
    <w:rsid w:val="006E011F"/>
    <w:rsid w:val="006E1A28"/>
    <w:rsid w:val="006E6356"/>
    <w:rsid w:val="006E7071"/>
    <w:rsid w:val="006F2C58"/>
    <w:rsid w:val="006F4D1F"/>
    <w:rsid w:val="006F6E36"/>
    <w:rsid w:val="007108D6"/>
    <w:rsid w:val="00713CE2"/>
    <w:rsid w:val="0071437A"/>
    <w:rsid w:val="007211BC"/>
    <w:rsid w:val="0072313C"/>
    <w:rsid w:val="0073443B"/>
    <w:rsid w:val="00740287"/>
    <w:rsid w:val="007459C8"/>
    <w:rsid w:val="00750B37"/>
    <w:rsid w:val="007525DF"/>
    <w:rsid w:val="0075419F"/>
    <w:rsid w:val="0075440A"/>
    <w:rsid w:val="007548C4"/>
    <w:rsid w:val="007620B1"/>
    <w:rsid w:val="00764158"/>
    <w:rsid w:val="00764B26"/>
    <w:rsid w:val="00765A52"/>
    <w:rsid w:val="00777983"/>
    <w:rsid w:val="00783871"/>
    <w:rsid w:val="00785078"/>
    <w:rsid w:val="007A5574"/>
    <w:rsid w:val="007B5024"/>
    <w:rsid w:val="007C3FD1"/>
    <w:rsid w:val="007C7507"/>
    <w:rsid w:val="007C7AB8"/>
    <w:rsid w:val="007D0B6C"/>
    <w:rsid w:val="007D405A"/>
    <w:rsid w:val="007D6823"/>
    <w:rsid w:val="007E357F"/>
    <w:rsid w:val="007E3B10"/>
    <w:rsid w:val="007E41BF"/>
    <w:rsid w:val="007E532E"/>
    <w:rsid w:val="007F2546"/>
    <w:rsid w:val="007F40A1"/>
    <w:rsid w:val="00802CE2"/>
    <w:rsid w:val="00810A1F"/>
    <w:rsid w:val="00810BB4"/>
    <w:rsid w:val="00812957"/>
    <w:rsid w:val="00812A8B"/>
    <w:rsid w:val="00817D02"/>
    <w:rsid w:val="00820A48"/>
    <w:rsid w:val="00825502"/>
    <w:rsid w:val="0083600B"/>
    <w:rsid w:val="00841C94"/>
    <w:rsid w:val="00847E90"/>
    <w:rsid w:val="00853550"/>
    <w:rsid w:val="00853C7C"/>
    <w:rsid w:val="00855817"/>
    <w:rsid w:val="00857A27"/>
    <w:rsid w:val="0087498B"/>
    <w:rsid w:val="00874DC3"/>
    <w:rsid w:val="00877581"/>
    <w:rsid w:val="008839AF"/>
    <w:rsid w:val="008855A8"/>
    <w:rsid w:val="00887D6C"/>
    <w:rsid w:val="008A269A"/>
    <w:rsid w:val="008A280F"/>
    <w:rsid w:val="008A3E90"/>
    <w:rsid w:val="008B2909"/>
    <w:rsid w:val="008B2D20"/>
    <w:rsid w:val="008D0DCC"/>
    <w:rsid w:val="008D0DE7"/>
    <w:rsid w:val="008D17DC"/>
    <w:rsid w:val="008D42AE"/>
    <w:rsid w:val="008E253A"/>
    <w:rsid w:val="008E2A93"/>
    <w:rsid w:val="008E4620"/>
    <w:rsid w:val="008F020E"/>
    <w:rsid w:val="008F29C4"/>
    <w:rsid w:val="00907816"/>
    <w:rsid w:val="0092536E"/>
    <w:rsid w:val="00925C93"/>
    <w:rsid w:val="00926B13"/>
    <w:rsid w:val="00926D7A"/>
    <w:rsid w:val="0094020F"/>
    <w:rsid w:val="00946E4C"/>
    <w:rsid w:val="009555C8"/>
    <w:rsid w:val="00961DC1"/>
    <w:rsid w:val="00982ADF"/>
    <w:rsid w:val="0098584E"/>
    <w:rsid w:val="00997D19"/>
    <w:rsid w:val="009A16B7"/>
    <w:rsid w:val="009A6AD5"/>
    <w:rsid w:val="009C2788"/>
    <w:rsid w:val="009C7F6F"/>
    <w:rsid w:val="009D49B0"/>
    <w:rsid w:val="009D5306"/>
    <w:rsid w:val="009D7AB5"/>
    <w:rsid w:val="009E6DC7"/>
    <w:rsid w:val="009F2B37"/>
    <w:rsid w:val="009F33EF"/>
    <w:rsid w:val="00A017B6"/>
    <w:rsid w:val="00A25C28"/>
    <w:rsid w:val="00A2776A"/>
    <w:rsid w:val="00A27FF6"/>
    <w:rsid w:val="00A30A9C"/>
    <w:rsid w:val="00A326A4"/>
    <w:rsid w:val="00A34C7A"/>
    <w:rsid w:val="00A411EE"/>
    <w:rsid w:val="00A43769"/>
    <w:rsid w:val="00A44943"/>
    <w:rsid w:val="00A503E1"/>
    <w:rsid w:val="00A55506"/>
    <w:rsid w:val="00A740A0"/>
    <w:rsid w:val="00A75545"/>
    <w:rsid w:val="00A80323"/>
    <w:rsid w:val="00A80E75"/>
    <w:rsid w:val="00A83046"/>
    <w:rsid w:val="00A8606A"/>
    <w:rsid w:val="00A9641F"/>
    <w:rsid w:val="00AA2BEE"/>
    <w:rsid w:val="00AA3057"/>
    <w:rsid w:val="00AA64FF"/>
    <w:rsid w:val="00AA6970"/>
    <w:rsid w:val="00AC5449"/>
    <w:rsid w:val="00AC5AD4"/>
    <w:rsid w:val="00AD227E"/>
    <w:rsid w:val="00AD6F4B"/>
    <w:rsid w:val="00AE11F9"/>
    <w:rsid w:val="00AF2907"/>
    <w:rsid w:val="00AF3530"/>
    <w:rsid w:val="00B078DA"/>
    <w:rsid w:val="00B10CBD"/>
    <w:rsid w:val="00B21944"/>
    <w:rsid w:val="00B3511B"/>
    <w:rsid w:val="00B422CD"/>
    <w:rsid w:val="00B61A12"/>
    <w:rsid w:val="00B64F54"/>
    <w:rsid w:val="00B673C9"/>
    <w:rsid w:val="00B676CB"/>
    <w:rsid w:val="00B705C2"/>
    <w:rsid w:val="00B7230B"/>
    <w:rsid w:val="00B743B2"/>
    <w:rsid w:val="00B74C46"/>
    <w:rsid w:val="00B845B7"/>
    <w:rsid w:val="00B849F8"/>
    <w:rsid w:val="00B86099"/>
    <w:rsid w:val="00BA1F6A"/>
    <w:rsid w:val="00BA66A0"/>
    <w:rsid w:val="00BB28C5"/>
    <w:rsid w:val="00BB7848"/>
    <w:rsid w:val="00BC3D49"/>
    <w:rsid w:val="00BD070B"/>
    <w:rsid w:val="00BD0D7B"/>
    <w:rsid w:val="00BE2A27"/>
    <w:rsid w:val="00BE409B"/>
    <w:rsid w:val="00BE5A13"/>
    <w:rsid w:val="00BE6A13"/>
    <w:rsid w:val="00BF4C11"/>
    <w:rsid w:val="00BF7EA6"/>
    <w:rsid w:val="00C023A6"/>
    <w:rsid w:val="00C024F7"/>
    <w:rsid w:val="00C11BE7"/>
    <w:rsid w:val="00C34982"/>
    <w:rsid w:val="00C42FB6"/>
    <w:rsid w:val="00C47162"/>
    <w:rsid w:val="00C5184A"/>
    <w:rsid w:val="00C52537"/>
    <w:rsid w:val="00C56222"/>
    <w:rsid w:val="00C7090A"/>
    <w:rsid w:val="00C875BB"/>
    <w:rsid w:val="00C911A2"/>
    <w:rsid w:val="00C9230B"/>
    <w:rsid w:val="00C96539"/>
    <w:rsid w:val="00CA17A1"/>
    <w:rsid w:val="00CA2F6B"/>
    <w:rsid w:val="00CA70C8"/>
    <w:rsid w:val="00CA7378"/>
    <w:rsid w:val="00CB1527"/>
    <w:rsid w:val="00CB79E9"/>
    <w:rsid w:val="00CC6101"/>
    <w:rsid w:val="00CD7333"/>
    <w:rsid w:val="00CD75B8"/>
    <w:rsid w:val="00CE2D3D"/>
    <w:rsid w:val="00CE33B8"/>
    <w:rsid w:val="00D018C4"/>
    <w:rsid w:val="00D01BEB"/>
    <w:rsid w:val="00D23B81"/>
    <w:rsid w:val="00D33710"/>
    <w:rsid w:val="00D37BA8"/>
    <w:rsid w:val="00D42E9F"/>
    <w:rsid w:val="00D44311"/>
    <w:rsid w:val="00D46B39"/>
    <w:rsid w:val="00D51086"/>
    <w:rsid w:val="00D5229F"/>
    <w:rsid w:val="00D55096"/>
    <w:rsid w:val="00D655CA"/>
    <w:rsid w:val="00D75124"/>
    <w:rsid w:val="00D81AA6"/>
    <w:rsid w:val="00D828C3"/>
    <w:rsid w:val="00D92ED1"/>
    <w:rsid w:val="00D95869"/>
    <w:rsid w:val="00D95E44"/>
    <w:rsid w:val="00DA3060"/>
    <w:rsid w:val="00DA3BA1"/>
    <w:rsid w:val="00DB0F97"/>
    <w:rsid w:val="00DB71FE"/>
    <w:rsid w:val="00DD0640"/>
    <w:rsid w:val="00DF300C"/>
    <w:rsid w:val="00E10242"/>
    <w:rsid w:val="00E13564"/>
    <w:rsid w:val="00E14F5C"/>
    <w:rsid w:val="00E15082"/>
    <w:rsid w:val="00E20AE7"/>
    <w:rsid w:val="00E23404"/>
    <w:rsid w:val="00E277D4"/>
    <w:rsid w:val="00E35FB0"/>
    <w:rsid w:val="00E3737E"/>
    <w:rsid w:val="00E373E5"/>
    <w:rsid w:val="00E428A7"/>
    <w:rsid w:val="00E4461A"/>
    <w:rsid w:val="00E52CD6"/>
    <w:rsid w:val="00E57EA3"/>
    <w:rsid w:val="00E6180D"/>
    <w:rsid w:val="00E65637"/>
    <w:rsid w:val="00E71193"/>
    <w:rsid w:val="00E71E22"/>
    <w:rsid w:val="00E77194"/>
    <w:rsid w:val="00E83FAD"/>
    <w:rsid w:val="00EA07A6"/>
    <w:rsid w:val="00EA43AC"/>
    <w:rsid w:val="00EB48F6"/>
    <w:rsid w:val="00EB5823"/>
    <w:rsid w:val="00EC0391"/>
    <w:rsid w:val="00EC2C34"/>
    <w:rsid w:val="00ED5BDB"/>
    <w:rsid w:val="00EE3077"/>
    <w:rsid w:val="00EE4C39"/>
    <w:rsid w:val="00EF11F1"/>
    <w:rsid w:val="00EF3114"/>
    <w:rsid w:val="00EF65D1"/>
    <w:rsid w:val="00F01498"/>
    <w:rsid w:val="00F03841"/>
    <w:rsid w:val="00F055E7"/>
    <w:rsid w:val="00F138E6"/>
    <w:rsid w:val="00F16C9E"/>
    <w:rsid w:val="00F17EB6"/>
    <w:rsid w:val="00F32F03"/>
    <w:rsid w:val="00F34370"/>
    <w:rsid w:val="00F41E14"/>
    <w:rsid w:val="00F43708"/>
    <w:rsid w:val="00F53043"/>
    <w:rsid w:val="00F544FD"/>
    <w:rsid w:val="00F54621"/>
    <w:rsid w:val="00F64459"/>
    <w:rsid w:val="00F6668A"/>
    <w:rsid w:val="00F67EB1"/>
    <w:rsid w:val="00F81D4F"/>
    <w:rsid w:val="00F83937"/>
    <w:rsid w:val="00FA54B0"/>
    <w:rsid w:val="00FC190A"/>
    <w:rsid w:val="00FC3AA0"/>
    <w:rsid w:val="00FD4A7E"/>
    <w:rsid w:val="00FE32FC"/>
    <w:rsid w:val="00FF44AD"/>
    <w:rsid w:val="7B7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634"/>
  <w15:chartTrackingRefBased/>
  <w15:docId w15:val="{673C2A97-02C0-415A-91DC-355086F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4C6"/>
  </w:style>
  <w:style w:type="paragraph" w:styleId="Nadpis1">
    <w:name w:val="heading 1"/>
    <w:basedOn w:val="Normln"/>
    <w:next w:val="Normln"/>
    <w:link w:val="Nadpis1Char"/>
    <w:uiPriority w:val="9"/>
    <w:qFormat/>
    <w:rsid w:val="001544C6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4C6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4E4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2A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2A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2A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2A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2A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2A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4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1544C6"/>
    <w:rPr>
      <w:color w:val="0000FF"/>
      <w:u w:val="single"/>
    </w:rPr>
  </w:style>
  <w:style w:type="table" w:styleId="Mkatabulky">
    <w:name w:val="Table Grid"/>
    <w:basedOn w:val="Normlntabulka"/>
    <w:uiPriority w:val="39"/>
    <w:rsid w:val="0009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887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494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3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3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3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E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E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EA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414E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8B2D20"/>
    <w:rPr>
      <w:i/>
      <w:iCs/>
    </w:rPr>
  </w:style>
  <w:style w:type="paragraph" w:styleId="Revize">
    <w:name w:val="Revision"/>
    <w:hidden/>
    <w:uiPriority w:val="99"/>
    <w:semiHidden/>
    <w:rsid w:val="007D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Libosvár Tomáš</dc:creator>
  <cp:keywords/>
  <dc:description/>
  <cp:lastModifiedBy>Libosvár Tomáš</cp:lastModifiedBy>
  <cp:revision>4</cp:revision>
  <dcterms:created xsi:type="dcterms:W3CDTF">2020-09-27T15:25:00Z</dcterms:created>
  <dcterms:modified xsi:type="dcterms:W3CDTF">2020-10-01T17:18:00Z</dcterms:modified>
</cp:coreProperties>
</file>