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33B0" w14:textId="002363BC" w:rsidR="00A06452" w:rsidRPr="00765A52" w:rsidRDefault="00C83375" w:rsidP="00683E5D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0B277895" wp14:editId="5C999EAD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3604260" cy="216408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C5B">
        <w:rPr>
          <w:b/>
          <w:bCs/>
          <w:color w:val="538135" w:themeColor="accent6" w:themeShade="BF"/>
        </w:rPr>
        <w:t>VY</w:t>
      </w:r>
      <w:r>
        <w:rPr>
          <w:b/>
          <w:bCs/>
          <w:color w:val="538135" w:themeColor="accent6" w:themeShade="BF"/>
        </w:rPr>
        <w:t>05. Vojslavický most</w:t>
      </w:r>
    </w:p>
    <w:p w14:paraId="2507C92C" w14:textId="5C0FA224" w:rsidR="00A06452" w:rsidRPr="006424F0" w:rsidRDefault="00A5307C" w:rsidP="00EC1C5B">
      <w:pPr>
        <w:spacing w:after="0" w:line="240" w:lineRule="auto"/>
      </w:pPr>
      <w:r w:rsidRPr="00A5307C">
        <w:rPr>
          <w:b/>
          <w:bCs/>
        </w:rPr>
        <w:t xml:space="preserve">KM ID (ÚAP jev </w:t>
      </w:r>
      <w:proofErr w:type="gramStart"/>
      <w:r w:rsidRPr="00A5307C">
        <w:rPr>
          <w:b/>
          <w:bCs/>
        </w:rPr>
        <w:t>36b</w:t>
      </w:r>
      <w:proofErr w:type="gramEnd"/>
      <w:r w:rsidRPr="00A5307C">
        <w:rPr>
          <w:b/>
          <w:bCs/>
        </w:rPr>
        <w:t>):</w:t>
      </w:r>
      <w:r w:rsidR="00A06452" w:rsidRPr="00B078DA">
        <w:t xml:space="preserve"> </w:t>
      </w:r>
      <w:r w:rsidR="00EC1C5B">
        <w:t>121</w:t>
      </w:r>
      <w:r w:rsidR="00A06452">
        <w:br/>
      </w:r>
      <w:r w:rsidR="00A06452" w:rsidRPr="00AC5AD4">
        <w:rPr>
          <w:b/>
          <w:bCs/>
        </w:rPr>
        <w:t>Poloha</w:t>
      </w:r>
      <w:r w:rsidR="00A06452" w:rsidRPr="00B078DA">
        <w:t xml:space="preserve">: </w:t>
      </w:r>
      <w:r w:rsidR="00EC1C5B" w:rsidRPr="006E7FCD">
        <w:rPr>
          <w:rFonts w:ascii="Calibri" w:eastAsia="Times New Roman" w:hAnsi="Calibri" w:cs="Calibri"/>
          <w:color w:val="000000"/>
          <w:lang w:eastAsia="cs-CZ"/>
        </w:rPr>
        <w:t>49,596016</w:t>
      </w:r>
      <w:r w:rsidR="00EC1C5B">
        <w:rPr>
          <w:rFonts w:ascii="Calibri" w:eastAsia="Times New Roman" w:hAnsi="Calibri" w:cs="Calibri"/>
          <w:color w:val="000000"/>
          <w:lang w:eastAsia="cs-CZ"/>
        </w:rPr>
        <w:t xml:space="preserve"> N, </w:t>
      </w:r>
      <w:r w:rsidR="00EC1C5B" w:rsidRPr="006E7FCD">
        <w:rPr>
          <w:rFonts w:ascii="Calibri" w:eastAsia="Times New Roman" w:hAnsi="Calibri" w:cs="Calibri"/>
          <w:color w:val="000000"/>
          <w:lang w:eastAsia="cs-CZ"/>
        </w:rPr>
        <w:t>15,207215</w:t>
      </w:r>
      <w:r w:rsidR="00EC1C5B">
        <w:rPr>
          <w:rFonts w:ascii="Calibri" w:eastAsia="Times New Roman" w:hAnsi="Calibri" w:cs="Calibri"/>
          <w:color w:val="000000"/>
          <w:lang w:eastAsia="cs-CZ"/>
        </w:rPr>
        <w:t xml:space="preserve"> E</w:t>
      </w:r>
      <w:r w:rsidR="00A06452">
        <w:br/>
      </w:r>
      <w:r w:rsidR="00A32F1D">
        <w:rPr>
          <w:b/>
          <w:bCs/>
        </w:rPr>
        <w:t>Plocha</w:t>
      </w:r>
      <w:r w:rsidR="00A32F1D" w:rsidRPr="006424F0">
        <w:rPr>
          <w:b/>
          <w:bCs/>
        </w:rPr>
        <w:t xml:space="preserve"> KM</w:t>
      </w:r>
      <w:r w:rsidR="00A32F1D">
        <w:t xml:space="preserve">: </w:t>
      </w:r>
      <w:r w:rsidR="00C83375">
        <w:t>63,4 ha</w:t>
      </w:r>
      <w:r w:rsidR="00A32F1D">
        <w:br/>
      </w:r>
      <w:r w:rsidR="00A32F1D" w:rsidRPr="00AC5AD4">
        <w:rPr>
          <w:b/>
          <w:bCs/>
        </w:rPr>
        <w:t>Katastrální</w:t>
      </w:r>
      <w:r w:rsidR="00A32F1D" w:rsidRPr="00B078DA">
        <w:t xml:space="preserve"> </w:t>
      </w:r>
      <w:r w:rsidR="00A32F1D" w:rsidRPr="00AC5AD4">
        <w:rPr>
          <w:b/>
          <w:bCs/>
        </w:rPr>
        <w:t>území</w:t>
      </w:r>
      <w:r w:rsidR="00A32F1D" w:rsidRPr="00B078DA">
        <w:t xml:space="preserve">: </w:t>
      </w:r>
      <w:r w:rsidR="00C83375" w:rsidRPr="00C83375">
        <w:rPr>
          <w:sz w:val="20"/>
          <w:szCs w:val="20"/>
        </w:rPr>
        <w:t xml:space="preserve">Vojslavice na Želivkou, Píšť u Humpolce, </w:t>
      </w:r>
      <w:r w:rsidR="00C83375">
        <w:rPr>
          <w:sz w:val="20"/>
          <w:szCs w:val="20"/>
        </w:rPr>
        <w:br/>
        <w:t xml:space="preserve"> </w:t>
      </w:r>
      <w:r w:rsidR="00C83375">
        <w:rPr>
          <w:sz w:val="20"/>
          <w:szCs w:val="20"/>
        </w:rPr>
        <w:tab/>
      </w:r>
      <w:r w:rsidR="00C83375">
        <w:rPr>
          <w:sz w:val="20"/>
          <w:szCs w:val="20"/>
        </w:rPr>
        <w:tab/>
        <w:t xml:space="preserve">      </w:t>
      </w:r>
      <w:proofErr w:type="spellStart"/>
      <w:r w:rsidR="00C83375" w:rsidRPr="00C83375">
        <w:rPr>
          <w:sz w:val="20"/>
          <w:szCs w:val="20"/>
        </w:rPr>
        <w:t>Hroznětice</w:t>
      </w:r>
      <w:proofErr w:type="spellEnd"/>
      <w:r w:rsidR="00C83375" w:rsidRPr="00C83375">
        <w:rPr>
          <w:sz w:val="20"/>
          <w:szCs w:val="20"/>
        </w:rPr>
        <w:t xml:space="preserve">, </w:t>
      </w:r>
      <w:proofErr w:type="spellStart"/>
      <w:r w:rsidR="00C83375" w:rsidRPr="00C83375">
        <w:rPr>
          <w:sz w:val="20"/>
          <w:szCs w:val="20"/>
        </w:rPr>
        <w:t>Vranice</w:t>
      </w:r>
      <w:proofErr w:type="spellEnd"/>
      <w:r w:rsidR="00C83375" w:rsidRPr="00C83375">
        <w:rPr>
          <w:sz w:val="20"/>
          <w:szCs w:val="20"/>
        </w:rPr>
        <w:t xml:space="preserve"> u Humpolce</w:t>
      </w:r>
      <w:r w:rsidR="00A32F1D">
        <w:br/>
      </w:r>
      <w:r w:rsidR="00A32F1D" w:rsidRPr="00AC5AD4">
        <w:rPr>
          <w:b/>
          <w:bCs/>
        </w:rPr>
        <w:t>Průchodnost</w:t>
      </w:r>
      <w:r w:rsidR="00A32F1D">
        <w:rPr>
          <w:b/>
          <w:bCs/>
        </w:rPr>
        <w:t xml:space="preserve"> KM</w:t>
      </w:r>
      <w:r w:rsidR="00A32F1D" w:rsidRPr="00B078DA">
        <w:t>:</w:t>
      </w:r>
      <w:r w:rsidR="00A32F1D" w:rsidRPr="008D17DC">
        <w:t xml:space="preserve"> </w:t>
      </w:r>
      <w:r w:rsidR="00C83375">
        <w:t xml:space="preserve">K2 </w:t>
      </w:r>
      <w:r w:rsidR="00B57639">
        <w:t>–</w:t>
      </w:r>
      <w:r w:rsidR="00C83375">
        <w:t xml:space="preserve"> </w:t>
      </w:r>
      <w:r w:rsidR="00B57639">
        <w:t>území s významnou bariérou</w:t>
      </w:r>
      <w:r w:rsidR="00A32F1D">
        <w:br/>
      </w:r>
      <w:r w:rsidR="00A32F1D" w:rsidRPr="00AC5AD4">
        <w:rPr>
          <w:b/>
          <w:bCs/>
        </w:rPr>
        <w:t>Navazující KM</w:t>
      </w:r>
      <w:r w:rsidR="00A32F1D" w:rsidRPr="00B078DA">
        <w:t xml:space="preserve">: </w:t>
      </w:r>
      <w:r w:rsidR="00CA27F7">
        <w:t xml:space="preserve">23. </w:t>
      </w:r>
      <w:proofErr w:type="spellStart"/>
      <w:r w:rsidR="00CA27F7">
        <w:t>Koberovický</w:t>
      </w:r>
      <w:proofErr w:type="spellEnd"/>
      <w:r w:rsidR="00CA27F7">
        <w:t xml:space="preserve"> most</w:t>
      </w:r>
      <w:r w:rsidR="00A32F1D">
        <w:br/>
      </w:r>
      <w:r w:rsidR="00A32F1D" w:rsidRPr="004D43F9">
        <w:rPr>
          <w:b/>
          <w:bCs/>
        </w:rPr>
        <w:t>Priorita realizace:</w:t>
      </w:r>
      <w:r w:rsidR="00A32F1D" w:rsidRPr="004D43F9">
        <w:t xml:space="preserve"> </w:t>
      </w:r>
      <w:r w:rsidR="00A508AB">
        <w:t>3/5 (</w:t>
      </w:r>
      <w:r w:rsidR="007D6A39">
        <w:t>střední</w:t>
      </w:r>
      <w:r w:rsidR="00A508AB">
        <w:t>)</w:t>
      </w:r>
      <w:r w:rsidR="00F037A4">
        <w:t xml:space="preserve"> – ohrožený </w:t>
      </w:r>
      <w:r w:rsidR="00F258BE">
        <w:t>migrační profil</w:t>
      </w:r>
      <w:r w:rsidR="00A32F1D">
        <w:br/>
      </w:r>
      <w:r w:rsidR="007C1716">
        <w:rPr>
          <w:b/>
          <w:bCs/>
        </w:rPr>
        <w:t>Celková n</w:t>
      </w:r>
      <w:r w:rsidR="00A32F1D" w:rsidRPr="001F69A5">
        <w:rPr>
          <w:b/>
          <w:bCs/>
        </w:rPr>
        <w:t>ákladnost</w:t>
      </w:r>
      <w:r w:rsidR="00A32F1D">
        <w:t xml:space="preserve">: </w:t>
      </w:r>
      <w:r w:rsidR="001969F5">
        <w:rPr>
          <w:rFonts w:ascii="Calibri" w:hAnsi="Calibri" w:cs="Calibri"/>
          <w:color w:val="000000" w:themeColor="text1"/>
        </w:rPr>
        <w:t xml:space="preserve">€€ - </w:t>
      </w:r>
      <w:r w:rsidR="00B57639">
        <w:rPr>
          <w:rFonts w:ascii="Calibri" w:hAnsi="Calibri" w:cs="Calibri"/>
          <w:color w:val="000000" w:themeColor="text1"/>
        </w:rPr>
        <w:t>€€</w:t>
      </w:r>
      <w:r w:rsidR="001969F5">
        <w:rPr>
          <w:rFonts w:ascii="Calibri" w:hAnsi="Calibri" w:cs="Calibri"/>
          <w:color w:val="000000" w:themeColor="text1"/>
        </w:rPr>
        <w:t xml:space="preserve">€ </w:t>
      </w:r>
      <w:r w:rsidR="00A32F1D">
        <w:rPr>
          <w:rFonts w:ascii="Calibri" w:hAnsi="Calibri" w:cs="Calibri"/>
          <w:color w:val="000000" w:themeColor="text1"/>
        </w:rPr>
        <w:t>/€€€</w:t>
      </w:r>
      <w:r w:rsidR="00E9091B">
        <w:rPr>
          <w:rFonts w:ascii="Calibri" w:hAnsi="Calibri" w:cs="Calibri"/>
          <w:color w:val="000000" w:themeColor="text1"/>
        </w:rPr>
        <w:t xml:space="preserve"> (</w:t>
      </w:r>
      <w:r w:rsidR="001969F5">
        <w:rPr>
          <w:rFonts w:ascii="Calibri" w:hAnsi="Calibri" w:cs="Calibri"/>
          <w:color w:val="000000" w:themeColor="text1"/>
        </w:rPr>
        <w:t>střední až vysoká</w:t>
      </w:r>
      <w:r w:rsidR="00E9091B">
        <w:rPr>
          <w:rFonts w:ascii="Calibri" w:hAnsi="Calibri" w:cs="Calibri"/>
          <w:color w:val="000000" w:themeColor="text1"/>
        </w:rPr>
        <w:t>)</w:t>
      </w:r>
    </w:p>
    <w:p w14:paraId="36BD558E" w14:textId="77777777" w:rsidR="00A06452" w:rsidRPr="00277F6D" w:rsidRDefault="00A06452" w:rsidP="00A06452">
      <w:pPr>
        <w:rPr>
          <w:rFonts w:cstheme="minorHAnsi"/>
        </w:rPr>
      </w:pPr>
    </w:p>
    <w:p w14:paraId="188807BF" w14:textId="77777777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stavu krajiny</w:t>
      </w:r>
    </w:p>
    <w:p w14:paraId="1F121CDE" w14:textId="75F300B4" w:rsidR="00197747" w:rsidRDefault="00197747" w:rsidP="00197747">
      <w:pPr>
        <w:jc w:val="both"/>
      </w:pPr>
      <w:r w:rsidRPr="00197747">
        <w:t>Hlavní dominantou oblasti je vodní nádrž Želivka po jejíchž obou březích jsou lesy v současné době silně zasažené kůrovcovou kalamitou. Údolí Želivky je místy skalnaté. Nad nádrží vede dálnice D1, která tvoří hlavní migrační bariéru pro velké savce.</w:t>
      </w:r>
      <w:r>
        <w:t xml:space="preserve"> </w:t>
      </w:r>
      <w:r w:rsidRPr="00197747">
        <w:t>Středem plochy KM prochází nadregionální biokoridor NKOD-</w:t>
      </w:r>
      <w:proofErr w:type="gramStart"/>
      <w:r w:rsidRPr="00197747">
        <w:t>78-K61</w:t>
      </w:r>
      <w:proofErr w:type="gramEnd"/>
      <w:r w:rsidRPr="00197747">
        <w:t>-K124, který zároveň propojuje 2 regionální biocentra – NKOD-744-Borkovy (cca 1 km JV od KM) a NKOD-1622-Sněť (cca 3 km SV od KM).</w:t>
      </w:r>
      <w:r>
        <w:t xml:space="preserve">  KM leží v ochranném pásmu </w:t>
      </w:r>
      <w:r w:rsidRPr="00197747">
        <w:t>vodního zdroje</w:t>
      </w:r>
      <w:r>
        <w:t xml:space="preserve"> Želivka</w:t>
      </w:r>
    </w:p>
    <w:p w14:paraId="7DCC695A" w14:textId="77777777" w:rsidR="00197747" w:rsidRDefault="00197747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</w:p>
    <w:p w14:paraId="08434BB2" w14:textId="07485AB4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134C6760" w14:textId="50E0C850" w:rsidR="00C61162" w:rsidRDefault="00197747" w:rsidP="00197747">
      <w:pPr>
        <w:jc w:val="both"/>
      </w:pPr>
      <w:r w:rsidRPr="00197747">
        <w:rPr>
          <w:b/>
          <w:bCs/>
        </w:rPr>
        <w:t>Dálnice D1</w:t>
      </w:r>
      <w:r w:rsidRPr="00197747">
        <w:t xml:space="preserve"> – </w:t>
      </w:r>
      <w:r>
        <w:t>h</w:t>
      </w:r>
      <w:r w:rsidRPr="00197747">
        <w:t>lavní migrační bariéra s průměrnou hustotou dopravy 39 127 vozidel denně. Dálnice je po obou stranách oplocená. Přes Želivku vede dvojitý most, kde ve spodním patře překonává přehradu silnice III. třídy a o 12 metrů výše dálnice D1, celková délka mostu je 229 m.</w:t>
      </w:r>
    </w:p>
    <w:p w14:paraId="6E56B42D" w14:textId="77777777" w:rsidR="00197747" w:rsidRPr="007D0B6C" w:rsidRDefault="00197747" w:rsidP="00A06452"/>
    <w:p w14:paraId="7313DFE2" w14:textId="77777777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Význam území z hlediska migrací</w:t>
      </w:r>
    </w:p>
    <w:p w14:paraId="67F5CCFF" w14:textId="46EA66BE" w:rsidR="00B57639" w:rsidRDefault="001969F5" w:rsidP="001969F5">
      <w:pPr>
        <w:jc w:val="both"/>
        <w:rPr>
          <w:rFonts w:cstheme="minorHAnsi"/>
        </w:rPr>
      </w:pPr>
      <w:r w:rsidRPr="001969F5">
        <w:rPr>
          <w:rFonts w:cstheme="minorHAnsi"/>
        </w:rPr>
        <w:t xml:space="preserve">Průchod pod </w:t>
      </w:r>
      <w:proofErr w:type="spellStart"/>
      <w:r w:rsidRPr="001969F5">
        <w:rPr>
          <w:rFonts w:cstheme="minorHAnsi"/>
        </w:rPr>
        <w:t>Vojslavickým</w:t>
      </w:r>
      <w:proofErr w:type="spellEnd"/>
      <w:r w:rsidRPr="001969F5">
        <w:rPr>
          <w:rFonts w:cstheme="minorHAnsi"/>
        </w:rPr>
        <w:t xml:space="preserve"> mostem je jednou z mála </w:t>
      </w:r>
      <w:r>
        <w:rPr>
          <w:rFonts w:cstheme="minorHAnsi"/>
        </w:rPr>
        <w:t>míst v širším okolí</w:t>
      </w:r>
      <w:r w:rsidRPr="001969F5">
        <w:rPr>
          <w:rFonts w:cstheme="minorHAnsi"/>
        </w:rPr>
        <w:t xml:space="preserve">, </w:t>
      </w:r>
      <w:r>
        <w:rPr>
          <w:rFonts w:cstheme="minorHAnsi"/>
        </w:rPr>
        <w:t xml:space="preserve">které je potenciálně průchodné pro cílové druhy živočichů. KM je však komplikovaně průchodný vzhledem k strmému terénu a chybějícím suchým břehům pod mostem. </w:t>
      </w:r>
      <w:r w:rsidR="00197747">
        <w:rPr>
          <w:rFonts w:cstheme="minorHAnsi"/>
        </w:rPr>
        <w:t xml:space="preserve">Jedná se o významný migrační koridor, </w:t>
      </w:r>
      <w:r>
        <w:rPr>
          <w:rFonts w:cstheme="minorHAnsi"/>
        </w:rPr>
        <w:t>díky ochrannému pásmu vodního zdroje s minimálními rušivými vlivy.</w:t>
      </w:r>
    </w:p>
    <w:p w14:paraId="25A27F1D" w14:textId="7FC0B2B7" w:rsidR="006B2D51" w:rsidRDefault="00B57639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3FBCD96F" wp14:editId="6198F845">
            <wp:simplePos x="899160" y="5090160"/>
            <wp:positionH relativeFrom="margin">
              <wp:align>left</wp:align>
            </wp:positionH>
            <wp:positionV relativeFrom="margin">
              <wp:align>bottom</wp:align>
            </wp:positionV>
            <wp:extent cx="2773680" cy="1844040"/>
            <wp:effectExtent l="19050" t="19050" r="26670" b="2286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440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21A081F9" wp14:editId="7D16E7A2">
            <wp:simplePos x="3680460" y="5090160"/>
            <wp:positionH relativeFrom="margin">
              <wp:align>right</wp:align>
            </wp:positionH>
            <wp:positionV relativeFrom="margin">
              <wp:align>bottom</wp:align>
            </wp:positionV>
            <wp:extent cx="2773680" cy="1844040"/>
            <wp:effectExtent l="19050" t="19050" r="26670" b="2286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440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B2D51">
        <w:rPr>
          <w:rFonts w:cstheme="minorHAnsi"/>
        </w:rPr>
        <w:br w:type="page"/>
      </w:r>
    </w:p>
    <w:p w14:paraId="52B3D8C2" w14:textId="098B0ABF" w:rsidR="00A06452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p w14:paraId="3627FCF5" w14:textId="77777777" w:rsidR="001969F5" w:rsidRPr="001969F5" w:rsidRDefault="001969F5" w:rsidP="001969F5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1133"/>
        <w:gridCol w:w="3545"/>
        <w:gridCol w:w="1559"/>
        <w:gridCol w:w="1129"/>
      </w:tblGrid>
      <w:tr w:rsidR="00FD5BFF" w:rsidRPr="0020415C" w14:paraId="2668FB19" w14:textId="77777777" w:rsidTr="004257CD">
        <w:tc>
          <w:tcPr>
            <w:tcW w:w="936" w:type="pct"/>
            <w:shd w:val="clear" w:color="auto" w:fill="D9D9D9" w:themeFill="background1" w:themeFillShade="D9"/>
          </w:tcPr>
          <w:p w14:paraId="28B033C7" w14:textId="77777777" w:rsidR="00FD5BFF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Typ </w:t>
            </w:r>
          </w:p>
          <w:p w14:paraId="7B492346" w14:textId="0ABF304A" w:rsidR="00FD5BFF" w:rsidRPr="00043372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14F43E07" w14:textId="6C30C224" w:rsidR="00FD5BFF" w:rsidRPr="00043372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Legenda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78FC4052" w14:textId="2594C189" w:rsidR="00FD5BFF" w:rsidRPr="00043372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</w:t>
            </w:r>
            <w:r w:rsidRPr="0020415C">
              <w:rPr>
                <w:rFonts w:cstheme="minorHAnsi"/>
                <w:b/>
                <w:bCs/>
              </w:rPr>
              <w:t xml:space="preserve"> opatření</w:t>
            </w:r>
          </w:p>
        </w:tc>
        <w:tc>
          <w:tcPr>
            <w:tcW w:w="860" w:type="pct"/>
            <w:shd w:val="clear" w:color="auto" w:fill="D9D9D9" w:themeFill="background1" w:themeFillShade="D9"/>
            <w:vAlign w:val="center"/>
          </w:tcPr>
          <w:p w14:paraId="4EF1E048" w14:textId="330BCD13" w:rsidR="00FD5BFF" w:rsidRPr="0020415C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 w:rsidRPr="00043372">
              <w:rPr>
                <w:rFonts w:cstheme="minorHAnsi"/>
                <w:b/>
                <w:bCs/>
              </w:rPr>
              <w:t>Efektiv</w:t>
            </w:r>
            <w:r>
              <w:rPr>
                <w:rFonts w:cstheme="minorHAnsi"/>
                <w:b/>
                <w:bCs/>
              </w:rPr>
              <w:t>ita</w:t>
            </w:r>
            <w:r w:rsidRPr="0004337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303618FA" w14:textId="77777777" w:rsidR="00FD5BFF" w:rsidRPr="0020415C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 w:rsidRPr="0020415C">
              <w:rPr>
                <w:rFonts w:cstheme="minorHAnsi"/>
                <w:b/>
                <w:bCs/>
              </w:rPr>
              <w:t>Dotčený subjekt</w:t>
            </w:r>
          </w:p>
        </w:tc>
      </w:tr>
      <w:tr w:rsidR="00CA27F7" w:rsidRPr="0043090B" w14:paraId="3DA4C730" w14:textId="77777777" w:rsidTr="003E6696">
        <w:trPr>
          <w:trHeight w:val="976"/>
        </w:trPr>
        <w:tc>
          <w:tcPr>
            <w:tcW w:w="936" w:type="pct"/>
            <w:vMerge w:val="restart"/>
            <w:vAlign w:val="center"/>
          </w:tcPr>
          <w:p w14:paraId="63AC35F0" w14:textId="77777777" w:rsidR="00CA27F7" w:rsidRPr="0043090B" w:rsidRDefault="00CA27F7" w:rsidP="00FD5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46304" behindDoc="1" locked="0" layoutInCell="1" allowOverlap="1" wp14:anchorId="2B8DE390" wp14:editId="3EC81666">
                  <wp:simplePos x="1242204" y="217385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6540" cy="257175"/>
                  <wp:effectExtent l="0" t="0" r="0" b="9525"/>
                  <wp:wrapSquare wrapText="bothSides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9F899" w14:textId="609E14B9" w:rsidR="00CA27F7" w:rsidRPr="0043090B" w:rsidRDefault="00CA27F7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6626DE8" w14:textId="3DBCC3A9" w:rsidR="00CA27F7" w:rsidRPr="00A12F0E" w:rsidRDefault="00CA27F7" w:rsidP="00FD5BFF">
            <w:pPr>
              <w:jc w:val="center"/>
              <w:rPr>
                <w:color w:val="734C00"/>
                <w:sz w:val="20"/>
                <w:szCs w:val="20"/>
              </w:rPr>
            </w:pPr>
            <w:r w:rsidRPr="00A12F0E">
              <w:rPr>
                <w:rFonts w:cstheme="minorHAnsi"/>
                <w:b/>
                <w:bCs/>
                <w:color w:val="734C00"/>
                <w:sz w:val="48"/>
                <w:szCs w:val="48"/>
              </w:rPr>
              <w:t>---</w:t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42ADEDC8" w14:textId="77777777" w:rsidR="00CA27F7" w:rsidRDefault="00CA27F7" w:rsidP="00B576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Úprava levého </w:t>
            </w:r>
            <w:r w:rsidR="00E40E53">
              <w:rPr>
                <w:rFonts w:cstheme="minorHAnsi"/>
                <w:sz w:val="20"/>
                <w:szCs w:val="20"/>
              </w:rPr>
              <w:t>prostoru</w:t>
            </w:r>
            <w:r>
              <w:rPr>
                <w:rFonts w:cstheme="minorHAnsi"/>
                <w:sz w:val="20"/>
                <w:szCs w:val="20"/>
              </w:rPr>
              <w:t xml:space="preserve"> (ve směru na Prahu)</w:t>
            </w:r>
            <w:r w:rsidR="00E40E53">
              <w:rPr>
                <w:rFonts w:cstheme="minorHAnsi"/>
                <w:sz w:val="20"/>
                <w:szCs w:val="20"/>
              </w:rPr>
              <w:t xml:space="preserve"> mezi dálničním mostem a mostem pro místní komunikaci: snížení sklonu svahů pro zlepšení přístupu živočichů</w:t>
            </w:r>
            <w:r w:rsidR="00F3630A">
              <w:rPr>
                <w:rFonts w:cstheme="minorHAnsi"/>
                <w:sz w:val="20"/>
                <w:szCs w:val="20"/>
              </w:rPr>
              <w:t>.</w:t>
            </w:r>
          </w:p>
          <w:p w14:paraId="091F1E53" w14:textId="1E12F7BA" w:rsidR="00F3630A" w:rsidRPr="00B57639" w:rsidRDefault="00F3630A" w:rsidP="00F363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Úprava svodidel na silnici III. </w:t>
            </w:r>
            <w:proofErr w:type="gramStart"/>
            <w:r>
              <w:rPr>
                <w:rFonts w:cstheme="minorHAnsi"/>
                <w:sz w:val="20"/>
                <w:szCs w:val="20"/>
              </w:rPr>
              <w:t>třídy  –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doplnění mezery pro umožnění úniku živočichů z vozovky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2A85C766" w14:textId="6E862B7F" w:rsidR="00CA27F7" w:rsidRPr="0043090B" w:rsidRDefault="003E6696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696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3E6696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93F54CA" w14:textId="6551181E" w:rsidR="00CA27F7" w:rsidRPr="0043090B" w:rsidRDefault="003E6696" w:rsidP="00FD5BFF">
            <w:pPr>
              <w:jc w:val="center"/>
              <w:rPr>
                <w:sz w:val="20"/>
                <w:szCs w:val="20"/>
              </w:rPr>
            </w:pPr>
            <w:r w:rsidRPr="003E6696">
              <w:rPr>
                <w:sz w:val="20"/>
                <w:szCs w:val="20"/>
              </w:rPr>
              <w:t>Ředitelství silnic a dálnic ČR</w:t>
            </w:r>
          </w:p>
        </w:tc>
      </w:tr>
      <w:tr w:rsidR="00CA27F7" w:rsidRPr="0043090B" w14:paraId="7D3A3D6B" w14:textId="77777777" w:rsidTr="00850BD1">
        <w:trPr>
          <w:trHeight w:val="1402"/>
        </w:trPr>
        <w:tc>
          <w:tcPr>
            <w:tcW w:w="936" w:type="pct"/>
            <w:vMerge/>
            <w:vAlign w:val="center"/>
          </w:tcPr>
          <w:p w14:paraId="4094B8B2" w14:textId="77777777" w:rsidR="00CA27F7" w:rsidRPr="0043090B" w:rsidRDefault="00CA27F7" w:rsidP="00FD5BFF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47E6E9D" w14:textId="0DAAED75" w:rsidR="00CA27F7" w:rsidRPr="00A12F0E" w:rsidRDefault="00CA27F7" w:rsidP="00FD5BFF">
            <w:pPr>
              <w:jc w:val="center"/>
              <w:rPr>
                <w:rFonts w:cstheme="minorHAnsi"/>
                <w:b/>
                <w:bCs/>
                <w:color w:val="4DE600"/>
                <w:sz w:val="28"/>
                <w:szCs w:val="28"/>
              </w:rPr>
            </w:pPr>
            <w:r w:rsidRPr="00A12F0E">
              <w:rPr>
                <w:rFonts w:cstheme="minorHAnsi"/>
                <w:b/>
                <w:bCs/>
                <w:color w:val="4DE600"/>
                <w:sz w:val="48"/>
                <w:szCs w:val="48"/>
              </w:rPr>
              <w:t>---</w:t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216650BB" w14:textId="7872FDF9" w:rsidR="00CA27F7" w:rsidRPr="00B57639" w:rsidRDefault="00E40E53" w:rsidP="00F363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Překrytí nepoužívané části mostu pro místní komunikaci vrstvou zeminy pro zlepšení podmínek migrací živočichů. A doplnění prostoru o větve, kmeny nebo hromady kamenů pro zpestření plochy </w:t>
            </w:r>
            <w:r w:rsidR="001969F5">
              <w:rPr>
                <w:rFonts w:cstheme="minorHAnsi"/>
                <w:sz w:val="20"/>
                <w:szCs w:val="20"/>
              </w:rPr>
              <w:t>a jako</w:t>
            </w:r>
            <w:r>
              <w:rPr>
                <w:rFonts w:cstheme="minorHAnsi"/>
                <w:sz w:val="20"/>
                <w:szCs w:val="20"/>
              </w:rPr>
              <w:t xml:space="preserve"> úkryt pro drobné živočichy. 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6D33EBA6" w14:textId="2D220C84" w:rsidR="00CA27F7" w:rsidRPr="0043090B" w:rsidRDefault="003E6696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696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3E6696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BE437B6" w14:textId="24A62286" w:rsidR="00CA27F7" w:rsidRPr="0043090B" w:rsidRDefault="003E6696" w:rsidP="00FD5BFF">
            <w:pPr>
              <w:jc w:val="center"/>
              <w:rPr>
                <w:sz w:val="20"/>
                <w:szCs w:val="20"/>
              </w:rPr>
            </w:pPr>
            <w:r w:rsidRPr="003E6696">
              <w:rPr>
                <w:sz w:val="20"/>
                <w:szCs w:val="20"/>
              </w:rPr>
              <w:t>Krajská správa a údržba silnic Vysočiny</w:t>
            </w:r>
          </w:p>
        </w:tc>
      </w:tr>
      <w:tr w:rsidR="00CA27F7" w:rsidRPr="0043090B" w14:paraId="633950B5" w14:textId="77777777" w:rsidTr="003E6696">
        <w:trPr>
          <w:trHeight w:val="1215"/>
        </w:trPr>
        <w:tc>
          <w:tcPr>
            <w:tcW w:w="936" w:type="pct"/>
            <w:vMerge/>
            <w:vAlign w:val="center"/>
          </w:tcPr>
          <w:p w14:paraId="159007F8" w14:textId="77777777" w:rsidR="00CA27F7" w:rsidRPr="0043090B" w:rsidRDefault="00CA27F7" w:rsidP="00FD5BFF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18E80B2" w14:textId="71646AC8" w:rsidR="00CA27F7" w:rsidRPr="00A12F0E" w:rsidRDefault="00CA27F7" w:rsidP="00FD5BFF">
            <w:pPr>
              <w:jc w:val="center"/>
              <w:rPr>
                <w:rFonts w:cstheme="minorHAnsi"/>
                <w:b/>
                <w:bCs/>
                <w:color w:val="FF01C4"/>
                <w:sz w:val="28"/>
                <w:szCs w:val="28"/>
              </w:rPr>
            </w:pPr>
            <w:r w:rsidRPr="00A12F0E">
              <w:rPr>
                <w:rFonts w:cstheme="minorHAnsi"/>
                <w:b/>
                <w:bCs/>
                <w:color w:val="FF01C4"/>
                <w:sz w:val="48"/>
                <w:szCs w:val="48"/>
              </w:rPr>
              <w:t>---</w:t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62EC1111" w14:textId="4A980DAD" w:rsidR="00CA27F7" w:rsidRPr="00B57639" w:rsidRDefault="00991DB7" w:rsidP="00F363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Dosypání pravého břehu u nádrže (tj. ve směru na Brno), tak v prvním pravém poli vznikl běžně nezaplavený břeh pro umožnění migrací živočichů. Tento břeh je nutné pře</w:t>
            </w:r>
            <w:r w:rsidR="003E6696">
              <w:rPr>
                <w:rFonts w:cstheme="minorHAnsi"/>
                <w:sz w:val="20"/>
                <w:szCs w:val="20"/>
              </w:rPr>
              <w:t>krýt štěrkem nebo zeminou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1557A24E" w14:textId="14C38DC2" w:rsidR="00CA27F7" w:rsidRPr="0043090B" w:rsidRDefault="003E6696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696">
              <w:rPr>
                <w:color w:val="000000" w:themeColor="text1"/>
                <w:sz w:val="20"/>
                <w:szCs w:val="20"/>
              </w:rPr>
              <w:t xml:space="preserve">€€€/ </w:t>
            </w:r>
            <w:r w:rsidRPr="003E6696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🐾🐾🐾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DFA37BE" w14:textId="3730A22F" w:rsidR="00CA27F7" w:rsidRPr="0043090B" w:rsidRDefault="003E6696" w:rsidP="00FD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Povodí Vltavy</w:t>
            </w:r>
          </w:p>
        </w:tc>
      </w:tr>
      <w:tr w:rsidR="00CA27F7" w:rsidRPr="0043090B" w14:paraId="15879F83" w14:textId="77777777" w:rsidTr="003E6696">
        <w:trPr>
          <w:trHeight w:val="639"/>
        </w:trPr>
        <w:tc>
          <w:tcPr>
            <w:tcW w:w="936" w:type="pct"/>
            <w:vMerge/>
            <w:tcBorders>
              <w:bottom w:val="single" w:sz="4" w:space="0" w:color="auto"/>
            </w:tcBorders>
            <w:vAlign w:val="center"/>
          </w:tcPr>
          <w:p w14:paraId="478D0894" w14:textId="77777777" w:rsidR="00CA27F7" w:rsidRPr="0043090B" w:rsidRDefault="00CA27F7" w:rsidP="00FD5BFF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88EFA40" w14:textId="34616D39" w:rsidR="00CA27F7" w:rsidRPr="00976382" w:rsidRDefault="00CA27F7" w:rsidP="00FD5BFF">
            <w:pPr>
              <w:jc w:val="center"/>
              <w:rPr>
                <w:rFonts w:cstheme="minorHAnsi"/>
                <w:b/>
                <w:bCs/>
                <w:color w:val="01C5FF"/>
                <w:sz w:val="28"/>
                <w:szCs w:val="28"/>
              </w:rPr>
            </w:pPr>
            <w:r w:rsidRPr="00976382">
              <w:rPr>
                <w:rFonts w:cstheme="minorHAnsi"/>
                <w:b/>
                <w:bCs/>
                <w:color w:val="01C5FF"/>
                <w:sz w:val="48"/>
                <w:szCs w:val="48"/>
              </w:rPr>
              <w:t>---</w:t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70230C9D" w14:textId="03E09976" w:rsidR="00CA27F7" w:rsidRPr="00B57639" w:rsidRDefault="00CA27F7" w:rsidP="00F363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Doplnění oboustranné protihlukové stěny na most na dálnici</w:t>
            </w:r>
            <w:r w:rsidR="003E6696">
              <w:rPr>
                <w:rFonts w:cstheme="minorHAnsi"/>
                <w:sz w:val="20"/>
                <w:szCs w:val="20"/>
              </w:rPr>
              <w:t xml:space="preserve"> o výšce 2 m.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0BA7D90D" w14:textId="196A0B91" w:rsidR="00CA27F7" w:rsidRPr="0043090B" w:rsidRDefault="003E6696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696">
              <w:rPr>
                <w:color w:val="000000" w:themeColor="text1"/>
                <w:sz w:val="20"/>
                <w:szCs w:val="20"/>
              </w:rPr>
              <w:t xml:space="preserve">€€€ / </w:t>
            </w:r>
            <w:r w:rsidRPr="003E6696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13E7E7F" w14:textId="5B1DDB2B" w:rsidR="00CA27F7" w:rsidRPr="0043090B" w:rsidRDefault="003E6696" w:rsidP="00FD5BFF">
            <w:pPr>
              <w:jc w:val="center"/>
              <w:rPr>
                <w:sz w:val="20"/>
                <w:szCs w:val="20"/>
              </w:rPr>
            </w:pPr>
            <w:r w:rsidRPr="003E6696">
              <w:rPr>
                <w:sz w:val="20"/>
                <w:szCs w:val="20"/>
              </w:rPr>
              <w:t>Ředitelství silnic a dálnic ČR</w:t>
            </w:r>
          </w:p>
        </w:tc>
      </w:tr>
    </w:tbl>
    <w:p w14:paraId="40C578DD" w14:textId="078E4129" w:rsidR="00A06452" w:rsidRDefault="00A06452" w:rsidP="00A06452">
      <w:pPr>
        <w:rPr>
          <w:rFonts w:cstheme="minorHAnsi"/>
        </w:rPr>
      </w:pPr>
    </w:p>
    <w:p w14:paraId="77668973" w14:textId="45535104" w:rsidR="00B57639" w:rsidRDefault="00EC1C5B" w:rsidP="00A06452">
      <w:pPr>
        <w:rPr>
          <w:rFonts w:cstheme="minorHAnsi"/>
        </w:rPr>
      </w:pPr>
      <w:r w:rsidRPr="00EC1C5B">
        <w:rPr>
          <w:rFonts w:cstheme="minorHAnsi"/>
          <w:noProof/>
        </w:rPr>
        <w:drawing>
          <wp:inline distT="0" distB="0" distL="0" distR="0" wp14:anchorId="4BD0F21D" wp14:editId="4D2ACD7A">
            <wp:extent cx="5760720" cy="3234055"/>
            <wp:effectExtent l="19050" t="19050" r="11430" b="2349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0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5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15EE8"/>
    <w:multiLevelType w:val="hybridMultilevel"/>
    <w:tmpl w:val="CBBEF130"/>
    <w:lvl w:ilvl="0" w:tplc="0096C734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52"/>
    <w:rsid w:val="00053E7B"/>
    <w:rsid w:val="00056F4B"/>
    <w:rsid w:val="00073107"/>
    <w:rsid w:val="00074D5D"/>
    <w:rsid w:val="00144135"/>
    <w:rsid w:val="00145112"/>
    <w:rsid w:val="00192DD9"/>
    <w:rsid w:val="001969F5"/>
    <w:rsid w:val="00196D6D"/>
    <w:rsid w:val="00197747"/>
    <w:rsid w:val="001F0967"/>
    <w:rsid w:val="00217837"/>
    <w:rsid w:val="002C683A"/>
    <w:rsid w:val="002D16CC"/>
    <w:rsid w:val="002F3BFD"/>
    <w:rsid w:val="0032091E"/>
    <w:rsid w:val="00352ACE"/>
    <w:rsid w:val="003E6696"/>
    <w:rsid w:val="00414AEB"/>
    <w:rsid w:val="004257CD"/>
    <w:rsid w:val="0043090B"/>
    <w:rsid w:val="00432E4F"/>
    <w:rsid w:val="00460F6B"/>
    <w:rsid w:val="00464FEF"/>
    <w:rsid w:val="00481A93"/>
    <w:rsid w:val="00487623"/>
    <w:rsid w:val="00497522"/>
    <w:rsid w:val="005050FD"/>
    <w:rsid w:val="0053695D"/>
    <w:rsid w:val="00565817"/>
    <w:rsid w:val="00591A5F"/>
    <w:rsid w:val="005B12DC"/>
    <w:rsid w:val="005B407B"/>
    <w:rsid w:val="005B4BB5"/>
    <w:rsid w:val="005D06A2"/>
    <w:rsid w:val="005D54B9"/>
    <w:rsid w:val="005E7C5D"/>
    <w:rsid w:val="006133ED"/>
    <w:rsid w:val="00683E5D"/>
    <w:rsid w:val="0069324D"/>
    <w:rsid w:val="006B0375"/>
    <w:rsid w:val="006B2D51"/>
    <w:rsid w:val="006E526C"/>
    <w:rsid w:val="006F5998"/>
    <w:rsid w:val="007017A5"/>
    <w:rsid w:val="007642AD"/>
    <w:rsid w:val="007C1716"/>
    <w:rsid w:val="007D6A39"/>
    <w:rsid w:val="00831279"/>
    <w:rsid w:val="008B00AD"/>
    <w:rsid w:val="009345B2"/>
    <w:rsid w:val="00976382"/>
    <w:rsid w:val="00991DB7"/>
    <w:rsid w:val="009D109D"/>
    <w:rsid w:val="009D7E4D"/>
    <w:rsid w:val="009E4FA0"/>
    <w:rsid w:val="00A06452"/>
    <w:rsid w:val="00A10667"/>
    <w:rsid w:val="00A12F0E"/>
    <w:rsid w:val="00A24599"/>
    <w:rsid w:val="00A30589"/>
    <w:rsid w:val="00A32F1D"/>
    <w:rsid w:val="00A3474B"/>
    <w:rsid w:val="00A508AB"/>
    <w:rsid w:val="00A5307C"/>
    <w:rsid w:val="00A946FB"/>
    <w:rsid w:val="00AA28C3"/>
    <w:rsid w:val="00AE38FB"/>
    <w:rsid w:val="00AF6DE5"/>
    <w:rsid w:val="00B57639"/>
    <w:rsid w:val="00B62CB7"/>
    <w:rsid w:val="00B830E5"/>
    <w:rsid w:val="00BA18FE"/>
    <w:rsid w:val="00BE5145"/>
    <w:rsid w:val="00BF176F"/>
    <w:rsid w:val="00C14C69"/>
    <w:rsid w:val="00C3783A"/>
    <w:rsid w:val="00C61162"/>
    <w:rsid w:val="00C83375"/>
    <w:rsid w:val="00CA27F7"/>
    <w:rsid w:val="00CE3375"/>
    <w:rsid w:val="00CF529E"/>
    <w:rsid w:val="00D077CE"/>
    <w:rsid w:val="00D94CB4"/>
    <w:rsid w:val="00DB5897"/>
    <w:rsid w:val="00DF297B"/>
    <w:rsid w:val="00E00F6A"/>
    <w:rsid w:val="00E40E53"/>
    <w:rsid w:val="00E5715C"/>
    <w:rsid w:val="00E9091B"/>
    <w:rsid w:val="00E96683"/>
    <w:rsid w:val="00EC1C5B"/>
    <w:rsid w:val="00EE4A99"/>
    <w:rsid w:val="00EE7D31"/>
    <w:rsid w:val="00EF44DD"/>
    <w:rsid w:val="00EF6BAF"/>
    <w:rsid w:val="00F037A4"/>
    <w:rsid w:val="00F055C3"/>
    <w:rsid w:val="00F1582E"/>
    <w:rsid w:val="00F258BE"/>
    <w:rsid w:val="00F26607"/>
    <w:rsid w:val="00F3630A"/>
    <w:rsid w:val="00F421CF"/>
    <w:rsid w:val="00F77BF6"/>
    <w:rsid w:val="00F81453"/>
    <w:rsid w:val="00F96B43"/>
    <w:rsid w:val="00FD5BFF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DAC8"/>
  <w15:chartTrackingRefBased/>
  <w15:docId w15:val="{C091BEB1-8F70-4DA6-B53E-D63B067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645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645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645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645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645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645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645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645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645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64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64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64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645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64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645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6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6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A0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Libosvár Tomáš</cp:lastModifiedBy>
  <cp:revision>4</cp:revision>
  <dcterms:created xsi:type="dcterms:W3CDTF">2020-09-25T10:54:00Z</dcterms:created>
  <dcterms:modified xsi:type="dcterms:W3CDTF">2020-09-27T12:12:00Z</dcterms:modified>
</cp:coreProperties>
</file>